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asciiTheme="minorEastAsia" w:hAnsiTheme="minorEastAsia" w:eastAsiaTheme="minorEastAsia"/>
          <w:sz w:val="28"/>
          <w:szCs w:val="28"/>
        </w:rPr>
      </w:pPr>
      <w:bookmarkStart w:id="0" w:name="_Toc526246862"/>
      <w:bookmarkStart w:id="1" w:name="_Toc61354154"/>
      <w:bookmarkStart w:id="2" w:name="_Toc526778066"/>
      <w:bookmarkStart w:id="3" w:name="_Toc526861349"/>
      <w:bookmarkStart w:id="4" w:name="_Toc303864864"/>
      <w:bookmarkStart w:id="5" w:name="_Toc300678051"/>
    </w:p>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drawing>
          <wp:inline distT="0" distB="0" distL="0" distR="0">
            <wp:extent cx="2143125" cy="1158875"/>
            <wp:effectExtent l="1905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6" cstate="print"/>
                    <a:srcRect/>
                    <a:stretch>
                      <a:fillRect/>
                    </a:stretch>
                  </pic:blipFill>
                  <pic:spPr>
                    <a:xfrm>
                      <a:off x="0" y="0"/>
                      <a:ext cx="2149078" cy="1162341"/>
                    </a:xfrm>
                    <a:prstGeom prst="rect">
                      <a:avLst/>
                    </a:prstGeom>
                    <a:noFill/>
                    <a:ln w="9525">
                      <a:noFill/>
                      <a:miter lim="800000"/>
                      <a:headEnd/>
                      <a:tailEnd/>
                    </a:ln>
                  </pic:spPr>
                </pic:pic>
              </a:graphicData>
            </a:graphic>
          </wp:inline>
        </w:drawing>
      </w:r>
    </w:p>
    <w:p>
      <w:pPr>
        <w:spacing w:line="360" w:lineRule="auto"/>
        <w:ind w:firstLine="4340" w:firstLineChars="1550"/>
        <w:rPr>
          <w:rFonts w:asciiTheme="minorEastAsia" w:hAnsiTheme="minorEastAsia" w:eastAsiaTheme="minorEastAsia"/>
          <w:sz w:val="28"/>
          <w:szCs w:val="28"/>
        </w:rPr>
      </w:pPr>
    </w:p>
    <w:p>
      <w:pPr>
        <w:rPr>
          <w:rFonts w:asciiTheme="minorEastAsia" w:hAnsiTheme="minorEastAsia" w:eastAsiaTheme="minorEastAsia"/>
          <w:sz w:val="28"/>
          <w:szCs w:val="28"/>
        </w:rPr>
      </w:pPr>
      <w:bookmarkStart w:id="6" w:name="_Toc300677986"/>
      <w:bookmarkStart w:id="7" w:name="_Toc303864854"/>
    </w:p>
    <w:p>
      <w:pPr>
        <w:rPr>
          <w:rFonts w:asciiTheme="minorEastAsia" w:hAnsiTheme="minorEastAsia" w:eastAsiaTheme="minorEastAsia"/>
          <w:sz w:val="28"/>
          <w:szCs w:val="28"/>
        </w:rPr>
      </w:pPr>
    </w:p>
    <w:p>
      <w:pPr>
        <w:spacing w:line="360" w:lineRule="auto"/>
        <w:ind w:left="400" w:right="400"/>
        <w:jc w:val="center"/>
        <w:rPr>
          <w:rFonts w:asciiTheme="minorEastAsia" w:hAnsiTheme="minorEastAsia" w:eastAsiaTheme="minorEastAsia"/>
          <w:b/>
          <w:sz w:val="84"/>
          <w:szCs w:val="84"/>
        </w:rPr>
      </w:pPr>
      <w:r>
        <w:rPr>
          <w:rFonts w:hint="eastAsia" w:asciiTheme="minorEastAsia" w:hAnsiTheme="minorEastAsia" w:eastAsiaTheme="minorEastAsia"/>
          <w:b/>
          <w:sz w:val="84"/>
          <w:szCs w:val="84"/>
        </w:rPr>
        <w:t>招标文件</w:t>
      </w:r>
    </w:p>
    <w:p>
      <w:pPr>
        <w:ind w:firstLine="435"/>
        <w:rPr>
          <w:rFonts w:asciiTheme="minorEastAsia" w:hAnsiTheme="minorEastAsia" w:eastAsiaTheme="minorEastAsia"/>
          <w:sz w:val="28"/>
          <w:szCs w:val="28"/>
        </w:rPr>
      </w:pPr>
    </w:p>
    <w:p>
      <w:pPr>
        <w:rPr>
          <w:rFonts w:asciiTheme="minorEastAsia" w:hAnsiTheme="minorEastAsia" w:eastAsiaTheme="minorEastAsia"/>
          <w:sz w:val="28"/>
          <w:szCs w:val="28"/>
        </w:rPr>
      </w:pPr>
    </w:p>
    <w:p>
      <w:pPr>
        <w:jc w:val="center"/>
        <w:rPr>
          <w:rFonts w:asciiTheme="minorEastAsia" w:hAnsiTheme="minorEastAsia" w:eastAsiaTheme="minorEastAsia"/>
          <w:b/>
          <w:sz w:val="28"/>
          <w:szCs w:val="28"/>
        </w:rPr>
      </w:pPr>
    </w:p>
    <w:p>
      <w:pPr>
        <w:jc w:val="center"/>
        <w:rPr>
          <w:rFonts w:asciiTheme="minorEastAsia" w:hAnsiTheme="minorEastAsia" w:eastAsiaTheme="minorEastAsia"/>
          <w:b/>
          <w:bCs/>
          <w:sz w:val="32"/>
          <w:szCs w:val="32"/>
        </w:rPr>
      </w:pPr>
    </w:p>
    <w:p>
      <w:pPr>
        <w:ind w:firstLine="851" w:firstLineChars="265"/>
        <w:rPr>
          <w:rFonts w:asciiTheme="minorEastAsia" w:hAnsiTheme="minorEastAsia" w:eastAsiaTheme="minorEastAsia"/>
          <w:b/>
          <w:sz w:val="32"/>
          <w:szCs w:val="32"/>
        </w:rPr>
      </w:pPr>
      <w:r>
        <w:rPr>
          <w:rFonts w:hint="eastAsia" w:asciiTheme="minorEastAsia" w:hAnsiTheme="minorEastAsia" w:eastAsiaTheme="minorEastAsia"/>
          <w:b/>
          <w:sz w:val="32"/>
          <w:szCs w:val="32"/>
        </w:rPr>
        <w:t>项目编号：HGJY-G2023194</w:t>
      </w:r>
    </w:p>
    <w:p>
      <w:pPr>
        <w:ind w:left="2527" w:leftChars="400" w:hanging="1687" w:hangingChars="525"/>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项目名称：202</w:t>
      </w:r>
      <w:r>
        <w:rPr>
          <w:rFonts w:hint="eastAsia" w:asciiTheme="minorEastAsia" w:hAnsiTheme="minorEastAsia" w:eastAsiaTheme="minorEastAsia"/>
          <w:b/>
          <w:bCs/>
          <w:sz w:val="32"/>
          <w:szCs w:val="32"/>
          <w:lang w:val="en-US" w:eastAsia="zh-CN"/>
        </w:rPr>
        <w:t>4</w:t>
      </w:r>
      <w:r>
        <w:rPr>
          <w:rFonts w:hint="eastAsia" w:asciiTheme="minorEastAsia" w:hAnsiTheme="minorEastAsia" w:eastAsiaTheme="minorEastAsia"/>
          <w:b/>
          <w:bCs/>
          <w:sz w:val="32"/>
          <w:szCs w:val="32"/>
        </w:rPr>
        <w:t>年</w:t>
      </w:r>
      <w:r>
        <w:rPr>
          <w:rFonts w:hint="eastAsia" w:asciiTheme="minorEastAsia" w:hAnsiTheme="minorEastAsia" w:eastAsiaTheme="minorEastAsia"/>
          <w:b/>
          <w:bCs/>
          <w:sz w:val="32"/>
          <w:szCs w:val="32"/>
          <w:lang w:val="en-US" w:eastAsia="zh-CN"/>
        </w:rPr>
        <w:t>1-6</w:t>
      </w:r>
      <w:r>
        <w:rPr>
          <w:rFonts w:hint="eastAsia" w:asciiTheme="minorEastAsia" w:hAnsiTheme="minorEastAsia" w:eastAsiaTheme="minorEastAsia"/>
          <w:b/>
          <w:bCs/>
          <w:sz w:val="32"/>
          <w:szCs w:val="32"/>
        </w:rPr>
        <w:t>月炼钢炼铁用保温覆盖剂（碳化稻壳型）采购项目</w:t>
      </w:r>
    </w:p>
    <w:p>
      <w:pPr>
        <w:spacing w:line="320" w:lineRule="atLeast"/>
        <w:ind w:left="3171" w:leftChars="753" w:right="1415" w:rightChars="674" w:hanging="1590" w:hangingChars="495"/>
        <w:rPr>
          <w:rFonts w:asciiTheme="minorEastAsia" w:hAnsiTheme="minorEastAsia" w:eastAsiaTheme="minorEastAsia"/>
          <w:b/>
          <w:bCs/>
          <w:sz w:val="32"/>
          <w:szCs w:val="32"/>
        </w:rPr>
      </w:pPr>
    </w:p>
    <w:p>
      <w:pPr>
        <w:ind w:firstLine="1590" w:firstLineChars="495"/>
        <w:jc w:val="left"/>
        <w:rPr>
          <w:rFonts w:asciiTheme="minorEastAsia" w:hAnsiTheme="minorEastAsia" w:eastAsiaTheme="minorEastAsia"/>
          <w:b/>
          <w:sz w:val="32"/>
          <w:szCs w:val="32"/>
        </w:rPr>
      </w:pPr>
    </w:p>
    <w:p>
      <w:pPr>
        <w:spacing w:line="360" w:lineRule="auto"/>
        <w:jc w:val="center"/>
        <w:rPr>
          <w:rFonts w:asciiTheme="minorEastAsia" w:hAnsiTheme="minorEastAsia" w:eastAsiaTheme="minorEastAsia"/>
          <w:sz w:val="32"/>
          <w:szCs w:val="32"/>
        </w:rPr>
      </w:pPr>
    </w:p>
    <w:p>
      <w:pPr>
        <w:spacing w:line="360" w:lineRule="auto"/>
        <w:rPr>
          <w:rFonts w:asciiTheme="minorEastAsia" w:hAnsiTheme="minorEastAsia" w:eastAsiaTheme="minorEastAsia"/>
          <w:b/>
          <w:bCs/>
          <w:sz w:val="32"/>
          <w:szCs w:val="32"/>
        </w:rPr>
      </w:pPr>
    </w:p>
    <w:p>
      <w:pPr>
        <w:spacing w:line="360" w:lineRule="auto"/>
        <w:rPr>
          <w:rFonts w:asciiTheme="minorEastAsia" w:hAnsiTheme="minorEastAsia" w:eastAsiaTheme="minorEastAsia"/>
          <w:b/>
          <w:bCs/>
          <w:sz w:val="32"/>
          <w:szCs w:val="32"/>
        </w:rPr>
      </w:pPr>
    </w:p>
    <w:p>
      <w:pPr>
        <w:spacing w:line="360" w:lineRule="auto"/>
        <w:rPr>
          <w:rFonts w:asciiTheme="minorEastAsia" w:hAnsiTheme="minorEastAsia" w:eastAsiaTheme="minorEastAsia"/>
          <w:b/>
          <w:bCs/>
          <w:sz w:val="32"/>
          <w:szCs w:val="32"/>
        </w:rPr>
      </w:pPr>
    </w:p>
    <w:p>
      <w:pPr>
        <w:spacing w:line="360" w:lineRule="exact"/>
        <w:ind w:firstLine="566" w:firstLineChars="177"/>
        <w:rPr>
          <w:rFonts w:asciiTheme="minorEastAsia" w:hAnsiTheme="minorEastAsia" w:eastAsiaTheme="minorEastAsia"/>
          <w:sz w:val="32"/>
          <w:szCs w:val="32"/>
        </w:rPr>
      </w:pPr>
    </w:p>
    <w:p>
      <w:pPr>
        <w:adjustRightInd w:val="0"/>
        <w:snapToGrid w:val="0"/>
        <w:spacing w:line="320" w:lineRule="atLeast"/>
        <w:jc w:val="center"/>
        <w:rPr>
          <w:rFonts w:asciiTheme="minorEastAsia" w:hAnsiTheme="minorEastAsia" w:eastAsiaTheme="minorEastAsia"/>
          <w:b/>
          <w:bCs/>
          <w:sz w:val="32"/>
          <w:szCs w:val="32"/>
        </w:rPr>
      </w:pPr>
      <w:r>
        <w:rPr>
          <w:rFonts w:asciiTheme="minorEastAsia" w:hAnsiTheme="minorEastAsia" w:eastAsiaTheme="minorEastAsia"/>
          <w:b/>
          <w:bCs/>
          <w:sz w:val="32"/>
          <w:szCs w:val="32"/>
        </w:rPr>
        <w:t>衡阳华菱</w:t>
      </w:r>
      <w:r>
        <w:rPr>
          <w:rFonts w:hint="eastAsia" w:asciiTheme="minorEastAsia" w:hAnsiTheme="minorEastAsia" w:eastAsiaTheme="minorEastAsia"/>
          <w:b/>
          <w:bCs/>
          <w:sz w:val="32"/>
          <w:szCs w:val="32"/>
        </w:rPr>
        <w:t>连轧管</w:t>
      </w:r>
      <w:r>
        <w:rPr>
          <w:rFonts w:asciiTheme="minorEastAsia" w:hAnsiTheme="minorEastAsia" w:eastAsiaTheme="minorEastAsia"/>
          <w:b/>
          <w:bCs/>
          <w:sz w:val="32"/>
          <w:szCs w:val="32"/>
        </w:rPr>
        <w:t>有限公司</w:t>
      </w:r>
      <w:r>
        <w:rPr>
          <w:rFonts w:hint="eastAsia" w:asciiTheme="minorEastAsia" w:hAnsiTheme="minorEastAsia" w:eastAsiaTheme="minorEastAsia"/>
          <w:b/>
          <w:bCs/>
          <w:sz w:val="32"/>
          <w:szCs w:val="32"/>
        </w:rPr>
        <w:t>　　</w:t>
      </w:r>
    </w:p>
    <w:p>
      <w:pPr>
        <w:spacing w:line="320" w:lineRule="atLeast"/>
        <w:jc w:val="center"/>
        <w:rPr>
          <w:rFonts w:asciiTheme="minorEastAsia" w:hAnsiTheme="minorEastAsia" w:eastAsiaTheme="minorEastAsia"/>
          <w:b/>
          <w:bCs/>
          <w:sz w:val="32"/>
          <w:szCs w:val="32"/>
        </w:rPr>
      </w:pPr>
    </w:p>
    <w:p>
      <w:pPr>
        <w:spacing w:line="540" w:lineRule="exact"/>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二○二</w:t>
      </w:r>
      <w:r>
        <w:rPr>
          <w:rFonts w:hint="eastAsia" w:asciiTheme="minorEastAsia" w:hAnsiTheme="minorEastAsia" w:eastAsiaTheme="minorEastAsia"/>
          <w:b/>
          <w:bCs/>
          <w:sz w:val="32"/>
          <w:szCs w:val="32"/>
          <w:lang w:eastAsia="zh-CN"/>
        </w:rPr>
        <w:t>三</w:t>
      </w:r>
      <w:r>
        <w:rPr>
          <w:rFonts w:hint="eastAsia" w:asciiTheme="minorEastAsia" w:hAnsiTheme="minorEastAsia" w:eastAsiaTheme="minorEastAsia"/>
          <w:b/>
          <w:bCs/>
          <w:sz w:val="32"/>
          <w:szCs w:val="32"/>
        </w:rPr>
        <w:t>年</w:t>
      </w:r>
      <w:r>
        <w:rPr>
          <w:rFonts w:hint="eastAsia" w:asciiTheme="minorEastAsia" w:hAnsiTheme="minorEastAsia" w:eastAsiaTheme="minorEastAsia"/>
          <w:b/>
          <w:bCs/>
          <w:sz w:val="32"/>
          <w:szCs w:val="32"/>
          <w:lang w:eastAsia="zh-CN"/>
        </w:rPr>
        <w:t>十二</w:t>
      </w:r>
      <w:r>
        <w:rPr>
          <w:rFonts w:hint="eastAsia" w:asciiTheme="minorEastAsia" w:hAnsiTheme="minorEastAsia" w:eastAsiaTheme="minorEastAsia"/>
          <w:b/>
          <w:bCs/>
          <w:sz w:val="32"/>
          <w:szCs w:val="32"/>
        </w:rPr>
        <w:t>月</w:t>
      </w:r>
    </w:p>
    <w:p>
      <w:pPr>
        <w:spacing w:line="540" w:lineRule="exact"/>
        <w:ind w:firstLine="437"/>
        <w:jc w:val="center"/>
        <w:rPr>
          <w:rFonts w:asciiTheme="minorEastAsia" w:hAnsiTheme="minorEastAsia" w:eastAsiaTheme="minorEastAsia"/>
          <w:b/>
          <w:bCs/>
          <w:sz w:val="28"/>
          <w:szCs w:val="28"/>
        </w:rPr>
      </w:pPr>
    </w:p>
    <w:sdt>
      <w:sdtPr>
        <w:rPr>
          <w:rFonts w:asciiTheme="minorEastAsia" w:hAnsiTheme="minorEastAsia" w:eastAsiaTheme="minorEastAsia"/>
          <w:b w:val="0"/>
          <w:bCs w:val="0"/>
          <w:kern w:val="2"/>
          <w:sz w:val="21"/>
          <w:szCs w:val="24"/>
          <w:lang w:val="zh-CN"/>
        </w:rPr>
        <w:id w:val="109733633"/>
        <w:docPartObj>
          <w:docPartGallery w:val="Table of Contents"/>
          <w:docPartUnique/>
        </w:docPartObj>
      </w:sdtPr>
      <w:sdtEndPr>
        <w:rPr>
          <w:rFonts w:asciiTheme="minorEastAsia" w:hAnsiTheme="minorEastAsia" w:eastAsiaTheme="minorEastAsia"/>
          <w:b w:val="0"/>
          <w:bCs w:val="0"/>
          <w:kern w:val="2"/>
          <w:sz w:val="21"/>
          <w:szCs w:val="24"/>
          <w:lang w:val="en-US"/>
        </w:rPr>
      </w:sdtEndPr>
      <w:sdtContent>
        <w:p>
          <w:pPr>
            <w:pStyle w:val="102"/>
            <w:jc w:val="center"/>
            <w:rPr>
              <w:rFonts w:asciiTheme="minorEastAsia" w:hAnsiTheme="minorEastAsia" w:eastAsiaTheme="minorEastAsia"/>
              <w:b w:val="0"/>
              <w:sz w:val="30"/>
              <w:szCs w:val="30"/>
            </w:rPr>
          </w:pPr>
          <w:r>
            <w:rPr>
              <w:rFonts w:asciiTheme="minorEastAsia" w:hAnsiTheme="minorEastAsia" w:eastAsiaTheme="minorEastAsia"/>
              <w:b w:val="0"/>
              <w:sz w:val="30"/>
              <w:szCs w:val="30"/>
              <w:lang w:val="zh-CN"/>
            </w:rPr>
            <w:t>目录</w:t>
          </w:r>
        </w:p>
        <w:p>
          <w:pPr>
            <w:pStyle w:val="26"/>
            <w:tabs>
              <w:tab w:val="left" w:pos="1260"/>
              <w:tab w:val="right" w:leader="dot" w:pos="9650"/>
            </w:tabs>
            <w:rPr>
              <w:rFonts w:asciiTheme="minorHAnsi" w:hAnsiTheme="minorHAnsi" w:eastAsiaTheme="minorEastAsia" w:cstheme="minorBidi"/>
              <w:szCs w:val="22"/>
            </w:rPr>
          </w:pP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TOC \o "1-3" \h \z \u </w:instrText>
          </w:r>
          <w:r>
            <w:rPr>
              <w:rFonts w:asciiTheme="minorEastAsia" w:hAnsiTheme="minorEastAsia" w:eastAsiaTheme="minorEastAsia"/>
              <w:sz w:val="30"/>
              <w:szCs w:val="30"/>
            </w:rPr>
            <w:fldChar w:fldCharType="separate"/>
          </w:r>
          <w:r>
            <w:fldChar w:fldCharType="begin"/>
          </w:r>
          <w:r>
            <w:instrText xml:space="preserve"> HYPERLINK \l "_Toc75279325" </w:instrText>
          </w:r>
          <w:r>
            <w:fldChar w:fldCharType="separate"/>
          </w:r>
          <w:r>
            <w:rPr>
              <w:rStyle w:val="42"/>
              <w:rFonts w:hint="eastAsia" w:asciiTheme="minorEastAsia" w:hAnsiTheme="minorEastAsia"/>
            </w:rPr>
            <w:t>第一章</w:t>
          </w:r>
          <w:r>
            <w:rPr>
              <w:rFonts w:asciiTheme="minorHAnsi" w:hAnsiTheme="minorHAnsi" w:eastAsiaTheme="minorEastAsia" w:cstheme="minorBidi"/>
              <w:szCs w:val="22"/>
            </w:rPr>
            <w:tab/>
          </w:r>
          <w:r>
            <w:rPr>
              <w:rStyle w:val="42"/>
              <w:rFonts w:hint="eastAsia" w:asciiTheme="minorEastAsia" w:hAnsiTheme="minorEastAsia"/>
            </w:rPr>
            <w:t>招标公告</w:t>
          </w:r>
          <w:r>
            <w:tab/>
          </w:r>
          <w:r>
            <w:fldChar w:fldCharType="begin"/>
          </w:r>
          <w:r>
            <w:instrText xml:space="preserve"> PAGEREF _Toc75279325 \h </w:instrText>
          </w:r>
          <w:r>
            <w:fldChar w:fldCharType="separate"/>
          </w:r>
          <w:r>
            <w:t>3</w:t>
          </w:r>
          <w:r>
            <w:fldChar w:fldCharType="end"/>
          </w:r>
          <w:r>
            <w:fldChar w:fldCharType="end"/>
          </w:r>
        </w:p>
        <w:p>
          <w:pPr>
            <w:pStyle w:val="26"/>
            <w:tabs>
              <w:tab w:val="right" w:leader="dot" w:pos="9650"/>
            </w:tabs>
            <w:rPr>
              <w:rFonts w:asciiTheme="minorHAnsi" w:hAnsiTheme="minorHAnsi" w:eastAsiaTheme="minorEastAsia" w:cstheme="minorBidi"/>
              <w:szCs w:val="22"/>
            </w:rPr>
          </w:pPr>
          <w:r>
            <w:fldChar w:fldCharType="begin"/>
          </w:r>
          <w:r>
            <w:instrText xml:space="preserve"> HYPERLINK \l "_Toc75279326" </w:instrText>
          </w:r>
          <w:r>
            <w:fldChar w:fldCharType="separate"/>
          </w:r>
          <w:r>
            <w:rPr>
              <w:rStyle w:val="42"/>
              <w:rFonts w:hint="eastAsia" w:asciiTheme="minorEastAsia" w:hAnsiTheme="minorEastAsia"/>
            </w:rPr>
            <w:t>第二章投标人须知</w:t>
          </w:r>
          <w:r>
            <w:tab/>
          </w:r>
          <w:r>
            <w:fldChar w:fldCharType="begin"/>
          </w:r>
          <w:r>
            <w:instrText xml:space="preserve"> PAGEREF _Toc75279326 \h </w:instrText>
          </w:r>
          <w:r>
            <w:fldChar w:fldCharType="separate"/>
          </w:r>
          <w:r>
            <w:t>5</w:t>
          </w:r>
          <w:r>
            <w:fldChar w:fldCharType="end"/>
          </w:r>
          <w:r>
            <w:fldChar w:fldCharType="end"/>
          </w:r>
        </w:p>
        <w:p>
          <w:pPr>
            <w:pStyle w:val="26"/>
            <w:tabs>
              <w:tab w:val="right" w:leader="dot" w:pos="9650"/>
            </w:tabs>
            <w:rPr>
              <w:rFonts w:asciiTheme="minorHAnsi" w:hAnsiTheme="minorHAnsi" w:eastAsiaTheme="minorEastAsia" w:cstheme="minorBidi"/>
              <w:szCs w:val="22"/>
            </w:rPr>
          </w:pPr>
          <w:r>
            <w:fldChar w:fldCharType="begin"/>
          </w:r>
          <w:r>
            <w:instrText xml:space="preserve"> HYPERLINK \l "_Toc75279327" </w:instrText>
          </w:r>
          <w:r>
            <w:fldChar w:fldCharType="separate"/>
          </w:r>
          <w:r>
            <w:rPr>
              <w:rStyle w:val="42"/>
              <w:rFonts w:hint="eastAsia" w:asciiTheme="minorEastAsia" w:hAnsiTheme="minorEastAsia"/>
            </w:rPr>
            <w:t>第四章 技术规格书</w:t>
          </w:r>
          <w:r>
            <w:tab/>
          </w:r>
          <w:r>
            <w:fldChar w:fldCharType="begin"/>
          </w:r>
          <w:r>
            <w:instrText xml:space="preserve"> PAGEREF _Toc75279327 \h </w:instrText>
          </w:r>
          <w:r>
            <w:fldChar w:fldCharType="separate"/>
          </w:r>
          <w:r>
            <w:t>12</w:t>
          </w:r>
          <w:r>
            <w:fldChar w:fldCharType="end"/>
          </w:r>
          <w:r>
            <w:fldChar w:fldCharType="end"/>
          </w:r>
        </w:p>
        <w:p>
          <w:pPr>
            <w:pStyle w:val="26"/>
            <w:tabs>
              <w:tab w:val="right" w:leader="dot" w:pos="9650"/>
            </w:tabs>
            <w:rPr>
              <w:rFonts w:asciiTheme="minorHAnsi" w:hAnsiTheme="minorHAnsi" w:eastAsiaTheme="minorEastAsia" w:cstheme="minorBidi"/>
              <w:szCs w:val="22"/>
            </w:rPr>
          </w:pPr>
          <w:r>
            <w:fldChar w:fldCharType="begin"/>
          </w:r>
          <w:r>
            <w:instrText xml:space="preserve"> HYPERLINK \l "_Toc75279328" </w:instrText>
          </w:r>
          <w:r>
            <w:fldChar w:fldCharType="separate"/>
          </w:r>
          <w:r>
            <w:rPr>
              <w:rStyle w:val="42"/>
              <w:rFonts w:hint="eastAsia" w:asciiTheme="minorEastAsia" w:hAnsiTheme="minorEastAsia"/>
            </w:rPr>
            <w:t>第五章合同条款及格式</w:t>
          </w:r>
          <w:r>
            <w:tab/>
          </w:r>
          <w:r>
            <w:fldChar w:fldCharType="begin"/>
          </w:r>
          <w:r>
            <w:instrText xml:space="preserve"> PAGEREF _Toc75279328 \h </w:instrText>
          </w:r>
          <w:r>
            <w:fldChar w:fldCharType="separate"/>
          </w:r>
          <w:r>
            <w:t>13</w:t>
          </w:r>
          <w:r>
            <w:fldChar w:fldCharType="end"/>
          </w:r>
          <w:r>
            <w:fldChar w:fldCharType="end"/>
          </w:r>
        </w:p>
        <w:p>
          <w:pPr>
            <w:pStyle w:val="26"/>
            <w:tabs>
              <w:tab w:val="right" w:leader="dot" w:pos="9650"/>
            </w:tabs>
            <w:rPr>
              <w:rFonts w:asciiTheme="minorHAnsi" w:hAnsiTheme="minorHAnsi" w:eastAsiaTheme="minorEastAsia" w:cstheme="minorBidi"/>
              <w:szCs w:val="22"/>
            </w:rPr>
          </w:pPr>
          <w:r>
            <w:fldChar w:fldCharType="begin"/>
          </w:r>
          <w:r>
            <w:instrText xml:space="preserve"> HYPERLINK \l "_Toc75279329" </w:instrText>
          </w:r>
          <w:r>
            <w:fldChar w:fldCharType="separate"/>
          </w:r>
          <w:r>
            <w:rPr>
              <w:rStyle w:val="42"/>
              <w:rFonts w:hint="eastAsia" w:asciiTheme="minorEastAsia" w:hAnsiTheme="minorEastAsia"/>
              <w:kern w:val="0"/>
            </w:rPr>
            <w:t>投标文件</w:t>
          </w:r>
          <w:r>
            <w:tab/>
          </w:r>
          <w:r>
            <w:fldChar w:fldCharType="begin"/>
          </w:r>
          <w:r>
            <w:instrText xml:space="preserve"> PAGEREF _Toc75279329 \h </w:instrText>
          </w:r>
          <w:r>
            <w:fldChar w:fldCharType="separate"/>
          </w:r>
          <w:r>
            <w:t>16</w:t>
          </w:r>
          <w:r>
            <w:fldChar w:fldCharType="end"/>
          </w:r>
          <w:r>
            <w:fldChar w:fldCharType="end"/>
          </w:r>
        </w:p>
        <w:p>
          <w:pPr>
            <w:pStyle w:val="30"/>
            <w:tabs>
              <w:tab w:val="right" w:leader="dot" w:pos="9650"/>
            </w:tabs>
            <w:rPr>
              <w:rFonts w:asciiTheme="minorHAnsi" w:hAnsiTheme="minorHAnsi" w:eastAsiaTheme="minorEastAsia" w:cstheme="minorBidi"/>
              <w:szCs w:val="22"/>
            </w:rPr>
          </w:pPr>
          <w:r>
            <w:fldChar w:fldCharType="begin"/>
          </w:r>
          <w:r>
            <w:instrText xml:space="preserve"> HYPERLINK \l "_Toc75279330" </w:instrText>
          </w:r>
          <w:r>
            <w:fldChar w:fldCharType="separate"/>
          </w:r>
          <w:r>
            <w:rPr>
              <w:rStyle w:val="42"/>
              <w:rFonts w:hint="eastAsia" w:asciiTheme="minorEastAsia" w:hAnsiTheme="minorEastAsia"/>
            </w:rPr>
            <w:t>一、投标函</w:t>
          </w:r>
          <w:r>
            <w:tab/>
          </w:r>
          <w:r>
            <w:fldChar w:fldCharType="begin"/>
          </w:r>
          <w:r>
            <w:instrText xml:space="preserve"> PAGEREF _Toc75279330 \h </w:instrText>
          </w:r>
          <w:r>
            <w:fldChar w:fldCharType="separate"/>
          </w:r>
          <w:r>
            <w:t>18</w:t>
          </w:r>
          <w:r>
            <w:fldChar w:fldCharType="end"/>
          </w:r>
          <w:r>
            <w:fldChar w:fldCharType="end"/>
          </w:r>
        </w:p>
        <w:p>
          <w:pPr>
            <w:pStyle w:val="30"/>
            <w:tabs>
              <w:tab w:val="right" w:leader="dot" w:pos="9650"/>
            </w:tabs>
            <w:rPr>
              <w:rFonts w:asciiTheme="minorHAnsi" w:hAnsiTheme="minorHAnsi" w:eastAsiaTheme="minorEastAsia" w:cstheme="minorBidi"/>
              <w:szCs w:val="22"/>
            </w:rPr>
          </w:pPr>
          <w:r>
            <w:fldChar w:fldCharType="begin"/>
          </w:r>
          <w:r>
            <w:instrText xml:space="preserve"> HYPERLINK \l "_Toc75279331" </w:instrText>
          </w:r>
          <w:r>
            <w:fldChar w:fldCharType="separate"/>
          </w:r>
          <w:r>
            <w:rPr>
              <w:rStyle w:val="42"/>
              <w:rFonts w:hint="eastAsia" w:asciiTheme="minorEastAsia" w:hAnsiTheme="minorEastAsia"/>
            </w:rPr>
            <w:t>二、营业执照（扫描件）三、法定代表人证明书</w:t>
          </w:r>
          <w:r>
            <w:tab/>
          </w:r>
          <w:r>
            <w:fldChar w:fldCharType="begin"/>
          </w:r>
          <w:r>
            <w:instrText xml:space="preserve"> PAGEREF _Toc75279331 \h </w:instrText>
          </w:r>
          <w:r>
            <w:fldChar w:fldCharType="separate"/>
          </w:r>
          <w:r>
            <w:t>19</w:t>
          </w:r>
          <w:r>
            <w:fldChar w:fldCharType="end"/>
          </w:r>
          <w:r>
            <w:fldChar w:fldCharType="end"/>
          </w:r>
        </w:p>
        <w:p>
          <w:pPr>
            <w:pStyle w:val="30"/>
            <w:tabs>
              <w:tab w:val="right" w:leader="dot" w:pos="9650"/>
            </w:tabs>
            <w:rPr>
              <w:rFonts w:asciiTheme="minorHAnsi" w:hAnsiTheme="minorHAnsi" w:eastAsiaTheme="minorEastAsia" w:cstheme="minorBidi"/>
              <w:szCs w:val="22"/>
            </w:rPr>
          </w:pPr>
          <w:r>
            <w:fldChar w:fldCharType="begin"/>
          </w:r>
          <w:r>
            <w:instrText xml:space="preserve"> HYPERLINK \l "_Toc75279332" </w:instrText>
          </w:r>
          <w:r>
            <w:fldChar w:fldCharType="separate"/>
          </w:r>
          <w:r>
            <w:rPr>
              <w:rStyle w:val="42"/>
              <w:rFonts w:hint="eastAsia" w:asciiTheme="minorEastAsia" w:hAnsiTheme="minorEastAsia"/>
            </w:rPr>
            <w:t>三、法定代表人证明书</w:t>
          </w:r>
          <w:r>
            <w:tab/>
          </w:r>
          <w:r>
            <w:fldChar w:fldCharType="begin"/>
          </w:r>
          <w:r>
            <w:instrText xml:space="preserve"> PAGEREF _Toc75279332 \h </w:instrText>
          </w:r>
          <w:r>
            <w:fldChar w:fldCharType="separate"/>
          </w:r>
          <w:r>
            <w:t>20</w:t>
          </w:r>
          <w:r>
            <w:fldChar w:fldCharType="end"/>
          </w:r>
          <w:r>
            <w:fldChar w:fldCharType="end"/>
          </w:r>
        </w:p>
        <w:p>
          <w:pPr>
            <w:pStyle w:val="30"/>
            <w:tabs>
              <w:tab w:val="right" w:leader="dot" w:pos="9650"/>
            </w:tabs>
            <w:rPr>
              <w:rFonts w:asciiTheme="minorHAnsi" w:hAnsiTheme="minorHAnsi" w:eastAsiaTheme="minorEastAsia" w:cstheme="minorBidi"/>
              <w:szCs w:val="22"/>
            </w:rPr>
          </w:pPr>
          <w:r>
            <w:fldChar w:fldCharType="begin"/>
          </w:r>
          <w:r>
            <w:instrText xml:space="preserve"> HYPERLINK \l "_Toc75279333" </w:instrText>
          </w:r>
          <w:r>
            <w:fldChar w:fldCharType="separate"/>
          </w:r>
          <w:r>
            <w:rPr>
              <w:rStyle w:val="42"/>
              <w:rFonts w:hint="eastAsia" w:asciiTheme="minorEastAsia" w:hAnsiTheme="minorEastAsia"/>
            </w:rPr>
            <w:t>四、授权委托书</w:t>
          </w:r>
          <w:r>
            <w:tab/>
          </w:r>
          <w:r>
            <w:fldChar w:fldCharType="begin"/>
          </w:r>
          <w:r>
            <w:instrText xml:space="preserve"> PAGEREF _Toc75279333 \h </w:instrText>
          </w:r>
          <w:r>
            <w:fldChar w:fldCharType="separate"/>
          </w:r>
          <w:r>
            <w:t>21</w:t>
          </w:r>
          <w:r>
            <w:fldChar w:fldCharType="end"/>
          </w:r>
          <w:r>
            <w:fldChar w:fldCharType="end"/>
          </w:r>
        </w:p>
        <w:p>
          <w:pPr>
            <w:pStyle w:val="30"/>
            <w:tabs>
              <w:tab w:val="right" w:leader="dot" w:pos="9650"/>
            </w:tabs>
            <w:rPr>
              <w:rFonts w:asciiTheme="minorHAnsi" w:hAnsiTheme="minorHAnsi" w:eastAsiaTheme="minorEastAsia" w:cstheme="minorBidi"/>
              <w:szCs w:val="22"/>
            </w:rPr>
          </w:pPr>
          <w:r>
            <w:fldChar w:fldCharType="begin"/>
          </w:r>
          <w:r>
            <w:instrText xml:space="preserve"> HYPERLINK \l "_Toc75279334" </w:instrText>
          </w:r>
          <w:r>
            <w:fldChar w:fldCharType="separate"/>
          </w:r>
          <w:r>
            <w:rPr>
              <w:rStyle w:val="42"/>
              <w:rFonts w:hint="eastAsia" w:asciiTheme="minorEastAsia" w:hAnsiTheme="minorEastAsia"/>
            </w:rPr>
            <w:t>五、投标保证金承诺函</w:t>
          </w:r>
          <w:r>
            <w:tab/>
          </w:r>
          <w:r>
            <w:fldChar w:fldCharType="begin"/>
          </w:r>
          <w:r>
            <w:instrText xml:space="preserve"> PAGEREF _Toc75279334 \h </w:instrText>
          </w:r>
          <w:r>
            <w:fldChar w:fldCharType="separate"/>
          </w:r>
          <w:r>
            <w:t>22</w:t>
          </w:r>
          <w:r>
            <w:fldChar w:fldCharType="end"/>
          </w:r>
          <w:r>
            <w:fldChar w:fldCharType="end"/>
          </w:r>
        </w:p>
        <w:p>
          <w:pPr>
            <w:pStyle w:val="30"/>
            <w:tabs>
              <w:tab w:val="right" w:leader="dot" w:pos="9650"/>
            </w:tabs>
            <w:rPr>
              <w:rFonts w:asciiTheme="minorHAnsi" w:hAnsiTheme="minorHAnsi" w:eastAsiaTheme="minorEastAsia" w:cstheme="minorBidi"/>
              <w:szCs w:val="22"/>
            </w:rPr>
          </w:pPr>
          <w:r>
            <w:fldChar w:fldCharType="begin"/>
          </w:r>
          <w:r>
            <w:instrText xml:space="preserve"> HYPERLINK \l "_Toc75279335" </w:instrText>
          </w:r>
          <w:r>
            <w:fldChar w:fldCharType="separate"/>
          </w:r>
          <w:r>
            <w:rPr>
              <w:rStyle w:val="42"/>
              <w:rFonts w:hint="eastAsia" w:asciiTheme="minorEastAsia" w:hAnsiTheme="minorEastAsia"/>
            </w:rPr>
            <w:t>六、投标单位开票信息表</w:t>
          </w:r>
          <w:r>
            <w:tab/>
          </w:r>
          <w:r>
            <w:fldChar w:fldCharType="begin"/>
          </w:r>
          <w:r>
            <w:instrText xml:space="preserve"> PAGEREF _Toc75279335 \h </w:instrText>
          </w:r>
          <w:r>
            <w:fldChar w:fldCharType="separate"/>
          </w:r>
          <w:r>
            <w:t>23</w:t>
          </w:r>
          <w:r>
            <w:fldChar w:fldCharType="end"/>
          </w:r>
          <w:r>
            <w:fldChar w:fldCharType="end"/>
          </w:r>
        </w:p>
        <w:p>
          <w:pPr>
            <w:pStyle w:val="26"/>
            <w:tabs>
              <w:tab w:val="right" w:leader="dot" w:pos="9650"/>
            </w:tabs>
            <w:rPr>
              <w:rFonts w:asciiTheme="minorHAnsi" w:hAnsiTheme="minorHAnsi" w:eastAsiaTheme="minorEastAsia" w:cstheme="minorBidi"/>
              <w:szCs w:val="22"/>
            </w:rPr>
          </w:pPr>
          <w:r>
            <w:fldChar w:fldCharType="begin"/>
          </w:r>
          <w:r>
            <w:instrText xml:space="preserve"> HYPERLINK \l "_Toc75279336" </w:instrText>
          </w:r>
          <w:r>
            <w:fldChar w:fldCharType="separate"/>
          </w:r>
          <w:r>
            <w:rPr>
              <w:rStyle w:val="42"/>
              <w:rFonts w:hint="eastAsia" w:asciiTheme="minorEastAsia" w:hAnsiTheme="minorEastAsia"/>
              <w:kern w:val="0"/>
            </w:rPr>
            <w:t>第二部分：商务标部分</w:t>
          </w:r>
          <w:r>
            <w:tab/>
          </w:r>
          <w:r>
            <w:fldChar w:fldCharType="begin"/>
          </w:r>
          <w:r>
            <w:instrText xml:space="preserve"> PAGEREF _Toc75279336 \h </w:instrText>
          </w:r>
          <w:r>
            <w:fldChar w:fldCharType="separate"/>
          </w:r>
          <w:r>
            <w:t>24</w:t>
          </w:r>
          <w:r>
            <w:fldChar w:fldCharType="end"/>
          </w:r>
          <w:r>
            <w:fldChar w:fldCharType="end"/>
          </w:r>
        </w:p>
        <w:p>
          <w:pPr>
            <w:pStyle w:val="30"/>
            <w:tabs>
              <w:tab w:val="left" w:pos="2520"/>
              <w:tab w:val="right" w:leader="dot" w:pos="9650"/>
            </w:tabs>
            <w:rPr>
              <w:rFonts w:asciiTheme="minorHAnsi" w:hAnsiTheme="minorHAnsi" w:eastAsiaTheme="minorEastAsia" w:cstheme="minorBidi"/>
              <w:szCs w:val="22"/>
            </w:rPr>
          </w:pPr>
          <w:r>
            <w:fldChar w:fldCharType="begin"/>
          </w:r>
          <w:r>
            <w:instrText xml:space="preserve"> HYPERLINK \l "_Toc75279337" </w:instrText>
          </w:r>
          <w:r>
            <w:fldChar w:fldCharType="separate"/>
          </w:r>
          <w:r>
            <w:rPr>
              <w:rStyle w:val="42"/>
              <w:rFonts w:hint="eastAsia" w:asciiTheme="minorEastAsia" w:hAnsiTheme="minorEastAsia"/>
            </w:rPr>
            <w:t>一、开标一览表</w:t>
          </w:r>
          <w:r>
            <w:rPr>
              <w:rFonts w:asciiTheme="minorHAnsi" w:hAnsiTheme="minorHAnsi" w:eastAsiaTheme="minorEastAsia" w:cstheme="minorBidi"/>
              <w:szCs w:val="22"/>
            </w:rPr>
            <w:tab/>
          </w:r>
          <w:r>
            <w:rPr>
              <w:rStyle w:val="42"/>
              <w:rFonts w:hint="eastAsia" w:cs="宋体" w:asciiTheme="minorEastAsia" w:hAnsiTheme="minorEastAsia"/>
            </w:rPr>
            <w:t>详见</w:t>
          </w:r>
          <w:r>
            <w:rPr>
              <w:rStyle w:val="42"/>
              <w:rFonts w:cs="宋体" w:asciiTheme="minorEastAsia" w:hAnsiTheme="minorEastAsia"/>
            </w:rPr>
            <w:t>EXCEL</w:t>
          </w:r>
          <w:r>
            <w:rPr>
              <w:rStyle w:val="42"/>
              <w:rFonts w:hint="eastAsia" w:cs="宋体" w:asciiTheme="minorEastAsia" w:hAnsiTheme="minorEastAsia"/>
            </w:rPr>
            <w:t>版《开标一览表》。</w:t>
          </w:r>
          <w:r>
            <w:tab/>
          </w:r>
          <w:r>
            <w:fldChar w:fldCharType="begin"/>
          </w:r>
          <w:r>
            <w:instrText xml:space="preserve"> PAGEREF _Toc75279337 \h </w:instrText>
          </w:r>
          <w:r>
            <w:fldChar w:fldCharType="separate"/>
          </w:r>
          <w:r>
            <w:t>24</w:t>
          </w:r>
          <w:r>
            <w:fldChar w:fldCharType="end"/>
          </w:r>
          <w:r>
            <w:fldChar w:fldCharType="end"/>
          </w:r>
        </w:p>
        <w:p>
          <w:pPr>
            <w:pStyle w:val="30"/>
            <w:tabs>
              <w:tab w:val="left" w:pos="2940"/>
              <w:tab w:val="right" w:leader="dot" w:pos="9650"/>
            </w:tabs>
            <w:rPr>
              <w:rFonts w:asciiTheme="minorHAnsi" w:hAnsiTheme="minorHAnsi" w:eastAsiaTheme="minorEastAsia" w:cstheme="minorBidi"/>
              <w:szCs w:val="22"/>
            </w:rPr>
          </w:pPr>
          <w:r>
            <w:fldChar w:fldCharType="begin"/>
          </w:r>
          <w:r>
            <w:instrText xml:space="preserve"> HYPERLINK \l "_Toc75279338" </w:instrText>
          </w:r>
          <w:r>
            <w:fldChar w:fldCharType="separate"/>
          </w:r>
          <w:r>
            <w:rPr>
              <w:rStyle w:val="42"/>
              <w:rFonts w:hint="eastAsia" w:asciiTheme="minorEastAsia" w:hAnsiTheme="minorEastAsia"/>
            </w:rPr>
            <w:t>二、商务</w:t>
          </w:r>
          <w:r>
            <w:rPr>
              <w:rStyle w:val="42"/>
              <w:rFonts w:asciiTheme="minorEastAsia" w:hAnsiTheme="minorEastAsia"/>
            </w:rPr>
            <w:t>/</w:t>
          </w:r>
          <w:r>
            <w:rPr>
              <w:rStyle w:val="42"/>
              <w:rFonts w:hint="eastAsia" w:asciiTheme="minorEastAsia" w:hAnsiTheme="minorEastAsia"/>
            </w:rPr>
            <w:t>技术偏离表</w:t>
          </w:r>
          <w:r>
            <w:rPr>
              <w:rFonts w:asciiTheme="minorHAnsi" w:hAnsiTheme="minorHAnsi" w:eastAsiaTheme="minorEastAsia" w:cstheme="minorBidi"/>
              <w:szCs w:val="22"/>
            </w:rPr>
            <w:tab/>
          </w:r>
          <w:r>
            <w:rPr>
              <w:rStyle w:val="42"/>
              <w:rFonts w:hint="eastAsia" w:cs="宋体" w:asciiTheme="minorEastAsia" w:hAnsiTheme="minorEastAsia"/>
            </w:rPr>
            <w:t>详见</w:t>
          </w:r>
          <w:r>
            <w:rPr>
              <w:rStyle w:val="42"/>
              <w:rFonts w:cs="宋体" w:asciiTheme="minorEastAsia" w:hAnsiTheme="minorEastAsia"/>
            </w:rPr>
            <w:t>EXCEL</w:t>
          </w:r>
          <w:r>
            <w:rPr>
              <w:rStyle w:val="42"/>
              <w:rFonts w:hint="eastAsia" w:cs="宋体" w:asciiTheme="minorEastAsia" w:hAnsiTheme="minorEastAsia"/>
            </w:rPr>
            <w:t>版《</w:t>
          </w:r>
          <w:r>
            <w:rPr>
              <w:rStyle w:val="42"/>
              <w:rFonts w:hint="eastAsia" w:asciiTheme="minorEastAsia" w:hAnsiTheme="minorEastAsia"/>
            </w:rPr>
            <w:t>商务</w:t>
          </w:r>
          <w:r>
            <w:rPr>
              <w:rStyle w:val="42"/>
              <w:rFonts w:asciiTheme="minorEastAsia" w:hAnsiTheme="minorEastAsia"/>
            </w:rPr>
            <w:t>/</w:t>
          </w:r>
          <w:r>
            <w:rPr>
              <w:rStyle w:val="42"/>
              <w:rFonts w:hint="eastAsia" w:asciiTheme="minorEastAsia" w:hAnsiTheme="minorEastAsia"/>
            </w:rPr>
            <w:t>技术偏离表</w:t>
          </w:r>
          <w:r>
            <w:rPr>
              <w:rStyle w:val="42"/>
              <w:rFonts w:hint="eastAsia" w:cs="宋体" w:asciiTheme="minorEastAsia" w:hAnsiTheme="minorEastAsia"/>
            </w:rPr>
            <w:t>》。</w:t>
          </w:r>
          <w:r>
            <w:tab/>
          </w:r>
          <w:r>
            <w:fldChar w:fldCharType="begin"/>
          </w:r>
          <w:r>
            <w:instrText xml:space="preserve"> PAGEREF _Toc75279338 \h </w:instrText>
          </w:r>
          <w:r>
            <w:fldChar w:fldCharType="separate"/>
          </w:r>
          <w:r>
            <w:t>24</w:t>
          </w:r>
          <w:r>
            <w:fldChar w:fldCharType="end"/>
          </w:r>
          <w:r>
            <w:fldChar w:fldCharType="end"/>
          </w:r>
        </w:p>
        <w:p>
          <w:pPr>
            <w:rPr>
              <w:rFonts w:asciiTheme="minorEastAsia" w:hAnsiTheme="minorEastAsia" w:eastAsiaTheme="minorEastAsia"/>
            </w:rPr>
          </w:pPr>
          <w:r>
            <w:rPr>
              <w:rFonts w:asciiTheme="minorEastAsia" w:hAnsiTheme="minorEastAsia" w:eastAsiaTheme="minorEastAsia"/>
              <w:sz w:val="30"/>
              <w:szCs w:val="30"/>
            </w:rPr>
            <w:fldChar w:fldCharType="end"/>
          </w:r>
        </w:p>
      </w:sdtContent>
    </w:sdt>
    <w:p>
      <w:pPr>
        <w:spacing w:line="540" w:lineRule="exact"/>
        <w:rPr>
          <w:rFonts w:asciiTheme="minorEastAsia" w:hAnsiTheme="minorEastAsia" w:eastAsiaTheme="minorEastAsia"/>
          <w:sz w:val="28"/>
          <w:szCs w:val="28"/>
        </w:rPr>
      </w:pPr>
    </w:p>
    <w:p>
      <w:pPr>
        <w:widowControl/>
        <w:jc w:val="left"/>
        <w:rPr>
          <w:rFonts w:asciiTheme="minorEastAsia" w:hAnsiTheme="minorEastAsia" w:eastAsiaTheme="minorEastAsia"/>
          <w:sz w:val="28"/>
          <w:szCs w:val="28"/>
        </w:rPr>
      </w:pPr>
      <w:r>
        <w:rPr>
          <w:rFonts w:asciiTheme="minorEastAsia" w:hAnsiTheme="minorEastAsia" w:eastAsiaTheme="minorEastAsia"/>
          <w:sz w:val="28"/>
          <w:szCs w:val="28"/>
        </w:rPr>
        <w:br w:type="page"/>
      </w:r>
    </w:p>
    <w:bookmarkEnd w:id="6"/>
    <w:bookmarkEnd w:id="7"/>
    <w:p>
      <w:pPr>
        <w:pStyle w:val="35"/>
        <w:numPr>
          <w:ilvl w:val="0"/>
          <w:numId w:val="1"/>
        </w:numPr>
        <w:rPr>
          <w:rFonts w:ascii="仿宋" w:hAnsi="仿宋" w:eastAsia="仿宋"/>
          <w:szCs w:val="32"/>
        </w:rPr>
      </w:pPr>
      <w:r>
        <w:rPr>
          <w:rFonts w:hint="eastAsia" w:ascii="仿宋" w:hAnsi="仿宋" w:eastAsia="仿宋"/>
          <w:szCs w:val="32"/>
        </w:rPr>
        <w:t xml:space="preserve">  招标公告</w:t>
      </w:r>
      <w:bookmarkEnd w:id="0"/>
      <w:bookmarkEnd w:id="1"/>
      <w:bookmarkEnd w:id="2"/>
      <w:bookmarkEnd w:id="3"/>
    </w:p>
    <w:p>
      <w:pPr>
        <w:pStyle w:val="100"/>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00"/>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HGJY-G2023194</w:t>
      </w:r>
    </w:p>
    <w:p>
      <w:pPr>
        <w:pStyle w:val="100"/>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1-6</w:t>
      </w:r>
      <w:r>
        <w:rPr>
          <w:rFonts w:hint="eastAsia" w:ascii="仿宋" w:hAnsi="仿宋" w:eastAsia="仿宋"/>
          <w:sz w:val="28"/>
          <w:szCs w:val="28"/>
        </w:rPr>
        <w:t>月炼钢炼铁用保温覆盖剂（碳化稻壳型）采购项目单位：衡阳华菱连轧管有限公司</w:t>
      </w:r>
    </w:p>
    <w:p>
      <w:pPr>
        <w:pStyle w:val="100"/>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0"/>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货物名称：中间包覆盖剂:保温覆盖剂（碳化稻壳型）</w:t>
      </w:r>
    </w:p>
    <w:p>
      <w:pPr>
        <w:pStyle w:val="100"/>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72</w:t>
      </w:r>
      <w:r>
        <w:rPr>
          <w:rFonts w:hint="eastAsia" w:ascii="仿宋" w:hAnsi="仿宋" w:eastAsia="仿宋"/>
          <w:sz w:val="28"/>
          <w:szCs w:val="28"/>
        </w:rPr>
        <w:t>0吨，具体数量以</w:t>
      </w:r>
      <w:r>
        <w:rPr>
          <w:rFonts w:hint="eastAsia" w:ascii="仿宋" w:hAnsi="仿宋" w:eastAsia="仿宋"/>
          <w:sz w:val="28"/>
          <w:szCs w:val="28"/>
          <w:lang w:eastAsia="zh-CN"/>
        </w:rPr>
        <w:t>炼钢</w:t>
      </w:r>
      <w:r>
        <w:rPr>
          <w:rFonts w:hint="eastAsia" w:ascii="仿宋" w:hAnsi="仿宋" w:eastAsia="仿宋"/>
          <w:sz w:val="28"/>
          <w:szCs w:val="28"/>
        </w:rPr>
        <w:t>厂计划为准,均衡到货</w:t>
      </w:r>
    </w:p>
    <w:p>
      <w:pPr>
        <w:pStyle w:val="100"/>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1-6</w:t>
      </w:r>
      <w:r>
        <w:rPr>
          <w:rFonts w:hint="eastAsia" w:ascii="仿宋" w:hAnsi="仿宋" w:eastAsia="仿宋"/>
          <w:sz w:val="28"/>
          <w:szCs w:val="28"/>
        </w:rPr>
        <w:t xml:space="preserve">月  </w:t>
      </w:r>
    </w:p>
    <w:p>
      <w:pPr>
        <w:pStyle w:val="100"/>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100"/>
        <w:numPr>
          <w:ilvl w:val="0"/>
          <w:numId w:val="2"/>
        </w:numPr>
        <w:adjustRightInd w:val="0"/>
        <w:snapToGrid w:val="0"/>
        <w:spacing w:line="360" w:lineRule="exact"/>
        <w:ind w:left="17" w:hanging="17" w:firstLineChars="0"/>
        <w:contextualSpacing/>
        <w:jc w:val="left"/>
        <w:rPr>
          <w:rFonts w:ascii="仿宋" w:hAnsi="仿宋" w:eastAsia="仿宋"/>
          <w:sz w:val="28"/>
          <w:szCs w:val="28"/>
        </w:rPr>
      </w:pPr>
      <w:r>
        <w:rPr>
          <w:rFonts w:hint="eastAsia" w:ascii="仿宋" w:hAnsi="仿宋" w:eastAsia="仿宋"/>
          <w:b/>
          <w:sz w:val="28"/>
          <w:szCs w:val="28"/>
        </w:rPr>
        <w:t>满足以下条件之一即可投标：</w:t>
      </w:r>
    </w:p>
    <w:p>
      <w:pPr>
        <w:pStyle w:val="100"/>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 xml:space="preserve">2.1   需方合格供方，且具备中间包覆盖剂:保温覆盖剂（碳化稻壳型）、铁水保温剂（碳化稻壳型）供货资质（已被需方列入黑名单或暂停供货资质的供方不可参标）。                                                                                              </w:t>
      </w:r>
    </w:p>
    <w:p>
      <w:pPr>
        <w:pStyle w:val="100"/>
        <w:adjustRightInd w:val="0"/>
        <w:snapToGrid w:val="0"/>
        <w:spacing w:line="360" w:lineRule="exact"/>
        <w:ind w:left="2" w:firstLine="0" w:firstLineChars="0"/>
        <w:contextualSpacing/>
        <w:jc w:val="left"/>
        <w:rPr>
          <w:rFonts w:ascii="仿宋" w:hAnsi="仿宋" w:eastAsia="仿宋"/>
          <w:b/>
          <w:sz w:val="28"/>
          <w:szCs w:val="28"/>
        </w:rPr>
      </w:pPr>
      <w:r>
        <w:rPr>
          <w:rFonts w:hint="eastAsia" w:ascii="仿宋" w:hAnsi="仿宋" w:eastAsia="仿宋"/>
          <w:sz w:val="28"/>
          <w:szCs w:val="28"/>
        </w:rPr>
        <w:t>2.2为华菱湘钢、涟钢中间包覆盖剂、铁水保温剂（碳化稻壳型）合格供方（提供合同原件或未经处理的扫描件）,注册资本必须不少于200万元,公司成立时间一年以上。                                                                                                                                                                                                                             2.3   为中间包覆盖剂（碳化稻壳型）生产加工企业，具有该产品钢铁企业供货业绩（近二年同类物料供货业绩证明,提供合同原件或未经处理的扫描件）。注册资本必须不少于200万元,公司成立时间一年以上。投标人具有良好的银行资信和商业信誉，没有处于被责令停业或破产状态，且资产未被重组、接管和冻结；投标人营业执照经营范围应包含本次竞标标的物范围。                                                              3</w:t>
      </w:r>
      <w:r>
        <w:rPr>
          <w:rFonts w:hint="eastAsia" w:ascii="仿宋" w:hAnsi="仿宋" w:eastAsia="仿宋"/>
          <w:b/>
          <w:sz w:val="28"/>
          <w:szCs w:val="28"/>
        </w:rPr>
        <w:t>招标文件获取</w:t>
      </w:r>
    </w:p>
    <w:p>
      <w:pPr>
        <w:pStyle w:val="100"/>
        <w:numPr>
          <w:ilvl w:val="1"/>
          <w:numId w:val="3"/>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0"/>
        <w:numPr>
          <w:ilvl w:val="1"/>
          <w:numId w:val="3"/>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请投标单位自行下载或查阅招标文件及相关资料等，恕不另行通知，如有遗漏，招标人概不负责。</w:t>
      </w:r>
    </w:p>
    <w:p>
      <w:pPr>
        <w:pStyle w:val="100"/>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lang w:val="en-US" w:eastAsia="zh-CN"/>
        </w:rPr>
        <w:t>2</w:t>
      </w:r>
      <w:r>
        <w:rPr>
          <w:rFonts w:hint="eastAsia" w:ascii="仿宋" w:hAnsi="仿宋" w:eastAsia="仿宋"/>
          <w:sz w:val="28"/>
          <w:szCs w:val="28"/>
        </w:rPr>
        <w:t>00元人民币，扫码支付。</w:t>
      </w:r>
    </w:p>
    <w:p>
      <w:pPr>
        <w:pStyle w:val="100"/>
        <w:numPr>
          <w:ilvl w:val="0"/>
          <w:numId w:val="3"/>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0"/>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200</w:t>
      </w:r>
      <w:r>
        <w:rPr>
          <w:rFonts w:hint="eastAsia" w:ascii="仿宋" w:hAnsi="仿宋" w:eastAsia="仿宋"/>
          <w:sz w:val="28"/>
          <w:szCs w:val="28"/>
        </w:rPr>
        <w:t>00</w:t>
      </w:r>
      <w:r>
        <w:rPr>
          <w:rFonts w:ascii="仿宋" w:hAnsi="仿宋" w:eastAsia="仿宋"/>
          <w:sz w:val="28"/>
          <w:szCs w:val="28"/>
        </w:rPr>
        <w:t>元人民币</w:t>
      </w:r>
      <w:r>
        <w:rPr>
          <w:rFonts w:hint="eastAsia" w:ascii="仿宋" w:hAnsi="仿宋" w:eastAsia="仿宋"/>
          <w:sz w:val="28"/>
          <w:szCs w:val="28"/>
        </w:rPr>
        <w:t>。</w:t>
      </w:r>
    </w:p>
    <w:p>
      <w:pPr>
        <w:pStyle w:val="100"/>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0"/>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0"/>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0"/>
        <w:numPr>
          <w:ilvl w:val="0"/>
          <w:numId w:val="3"/>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0"/>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3</w:t>
      </w:r>
      <w:r>
        <w:rPr>
          <w:rFonts w:ascii="仿宋" w:hAnsi="仿宋" w:eastAsia="仿宋"/>
          <w:b/>
          <w:sz w:val="28"/>
          <w:szCs w:val="28"/>
          <w:u w:val="single"/>
        </w:rPr>
        <w:t>年</w:t>
      </w:r>
      <w:r>
        <w:rPr>
          <w:rFonts w:hint="eastAsia" w:ascii="仿宋" w:hAnsi="仿宋" w:eastAsia="仿宋"/>
          <w:b/>
          <w:sz w:val="28"/>
          <w:szCs w:val="28"/>
          <w:u w:val="single"/>
          <w:lang w:val="en-US" w:eastAsia="zh-CN"/>
        </w:rPr>
        <w:t>12</w:t>
      </w:r>
      <w:r>
        <w:rPr>
          <w:rFonts w:ascii="仿宋" w:hAnsi="仿宋" w:eastAsia="仿宋"/>
          <w:b/>
          <w:sz w:val="28"/>
          <w:szCs w:val="28"/>
          <w:u w:val="single"/>
        </w:rPr>
        <w:t>月</w:t>
      </w:r>
      <w:r>
        <w:rPr>
          <w:rFonts w:hint="eastAsia" w:ascii="仿宋" w:hAnsi="仿宋" w:eastAsia="仿宋"/>
          <w:b/>
          <w:sz w:val="28"/>
          <w:szCs w:val="28"/>
          <w:u w:val="single"/>
          <w:lang w:val="en-US" w:eastAsia="zh-CN"/>
        </w:rPr>
        <w:t>20</w:t>
      </w:r>
      <w:r>
        <w:rPr>
          <w:rFonts w:ascii="仿宋" w:hAnsi="仿宋" w:eastAsia="仿宋"/>
          <w:b/>
          <w:sz w:val="28"/>
          <w:szCs w:val="28"/>
          <w:u w:val="single"/>
        </w:rPr>
        <w:t>日</w:t>
      </w:r>
      <w:r>
        <w:rPr>
          <w:rFonts w:hint="eastAsia" w:ascii="仿宋" w:hAnsi="仿宋" w:eastAsia="仿宋"/>
          <w:b/>
          <w:sz w:val="28"/>
          <w:szCs w:val="28"/>
          <w:u w:val="single"/>
          <w:lang w:val="en-US" w:eastAsia="zh-CN"/>
        </w:rPr>
        <w:t>14:30</w:t>
      </w:r>
    </w:p>
    <w:p>
      <w:pPr>
        <w:pStyle w:val="100"/>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00"/>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0"/>
        <w:numPr>
          <w:ilvl w:val="0"/>
          <w:numId w:val="3"/>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0"/>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100"/>
        <w:adjustRightInd w:val="0"/>
        <w:snapToGrid w:val="0"/>
        <w:spacing w:line="360" w:lineRule="exact"/>
        <w:ind w:left="851" w:firstLine="0" w:firstLineChars="0"/>
        <w:contextualSpacing/>
        <w:rPr>
          <w:rFonts w:ascii="仿宋" w:hAnsi="仿宋" w:eastAsia="仿宋"/>
          <w:sz w:val="28"/>
          <w:szCs w:val="28"/>
        </w:rPr>
      </w:pPr>
    </w:p>
    <w:p>
      <w:pPr>
        <w:pStyle w:val="100"/>
        <w:numPr>
          <w:ilvl w:val="0"/>
          <w:numId w:val="3"/>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0"/>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0"/>
        <w:numPr>
          <w:ilvl w:val="0"/>
          <w:numId w:val="3"/>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0"/>
        <w:numPr>
          <w:ilvl w:val="0"/>
          <w:numId w:val="3"/>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8" w:name="_Toc300677994"/>
      <w:bookmarkStart w:id="9" w:name="_Toc303864862"/>
      <w:r>
        <w:rPr>
          <w:rFonts w:hint="eastAsia" w:ascii="仿宋" w:hAnsi="仿宋" w:eastAsia="仿宋"/>
          <w:sz w:val="28"/>
          <w:szCs w:val="28"/>
        </w:rPr>
        <w:t>纪委，电话：</w:t>
      </w:r>
      <w:bookmarkEnd w:id="8"/>
      <w:bookmarkEnd w:id="9"/>
      <w:r>
        <w:rPr>
          <w:rFonts w:hint="eastAsia" w:ascii="仿宋" w:hAnsi="仿宋" w:eastAsia="仿宋" w:cs="宋体"/>
          <w:kern w:val="0"/>
          <w:sz w:val="28"/>
          <w:szCs w:val="28"/>
        </w:rPr>
        <w:t>0734-8872189</w:t>
      </w:r>
    </w:p>
    <w:p>
      <w:pPr>
        <w:pStyle w:val="100"/>
        <w:numPr>
          <w:ilvl w:val="0"/>
          <w:numId w:val="3"/>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0"/>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0"/>
        <w:numPr>
          <w:ilvl w:val="0"/>
          <w:numId w:val="3"/>
        </w:numPr>
        <w:tabs>
          <w:tab w:val="left" w:pos="851"/>
        </w:tabs>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tabs>
          <w:tab w:val="left" w:pos="840"/>
        </w:tabs>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tabs>
          <w:tab w:val="left" w:pos="840"/>
        </w:tabs>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w:t>
      </w:r>
      <w:r>
        <w:rPr>
          <w:rFonts w:hint="eastAsia" w:ascii="仿宋" w:hAnsi="仿宋" w:eastAsia="仿宋"/>
          <w:sz w:val="28"/>
          <w:szCs w:val="28"/>
          <w:lang w:val="en-US" w:eastAsia="zh-CN"/>
        </w:rPr>
        <w:t>3975425991</w:t>
      </w:r>
    </w:p>
    <w:p>
      <w:pPr>
        <w:tabs>
          <w:tab w:val="left" w:pos="840"/>
        </w:tabs>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100"/>
        <w:tabs>
          <w:tab w:val="left" w:pos="840"/>
        </w:tabs>
        <w:adjustRightInd w:val="0"/>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地址：衡阳华菱钢管有限公司企业管理和人力资源部</w:t>
      </w:r>
    </w:p>
    <w:p>
      <w:pPr>
        <w:widowControl/>
        <w:jc w:val="left"/>
        <w:rPr>
          <w:rFonts w:asciiTheme="minorEastAsia" w:hAnsiTheme="minorEastAsia" w:eastAsiaTheme="minorEastAsia"/>
          <w:b/>
          <w:sz w:val="28"/>
          <w:szCs w:val="28"/>
        </w:rPr>
      </w:pPr>
      <w:r>
        <w:rPr>
          <w:rFonts w:asciiTheme="minorEastAsia" w:hAnsiTheme="minorEastAsia" w:eastAsiaTheme="minorEastAsia"/>
          <w:sz w:val="28"/>
          <w:szCs w:val="28"/>
        </w:rPr>
        <w:br w:type="page"/>
      </w:r>
    </w:p>
    <w:p>
      <w:pPr>
        <w:pStyle w:val="35"/>
        <w:rPr>
          <w:rFonts w:asciiTheme="minorEastAsia" w:hAnsiTheme="minorEastAsia" w:eastAsiaTheme="minorEastAsia"/>
          <w:sz w:val="28"/>
          <w:szCs w:val="28"/>
        </w:rPr>
      </w:pPr>
      <w:bookmarkStart w:id="10" w:name="_Toc1544812"/>
      <w:r>
        <w:rPr>
          <w:rFonts w:hint="eastAsia" w:asciiTheme="minorEastAsia" w:hAnsiTheme="minorEastAsia" w:eastAsiaTheme="minorEastAsia"/>
          <w:sz w:val="28"/>
          <w:szCs w:val="28"/>
        </w:rPr>
        <w:t>第二章  投标人须知</w:t>
      </w:r>
      <w:bookmarkEnd w:id="4"/>
      <w:bookmarkEnd w:id="10"/>
    </w:p>
    <w:p>
      <w:pPr>
        <w:snapToGrid w:val="0"/>
        <w:jc w:val="center"/>
        <w:rPr>
          <w:rFonts w:asciiTheme="minorEastAsia" w:hAnsiTheme="minorEastAsia" w:eastAsiaTheme="minorEastAsia"/>
          <w:sz w:val="28"/>
          <w:szCs w:val="28"/>
        </w:rPr>
      </w:pPr>
    </w:p>
    <w:bookmarkEnd w:id="5"/>
    <w:tbl>
      <w:tblPr>
        <w:tblStyle w:val="37"/>
        <w:tblW w:w="978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3293"/>
        <w:gridCol w:w="1575"/>
        <w:gridCol w:w="1369"/>
        <w:gridCol w:w="13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817" w:type="dxa"/>
            <w:vAlign w:val="center"/>
          </w:tcPr>
          <w:p>
            <w:pPr>
              <w:jc w:val="center"/>
              <w:rPr>
                <w:rFonts w:asciiTheme="minorEastAsia" w:hAnsiTheme="minorEastAsia" w:eastAsiaTheme="minorEastAsia"/>
                <w:sz w:val="28"/>
                <w:szCs w:val="28"/>
              </w:rPr>
            </w:pPr>
            <w:bookmarkStart w:id="11" w:name="_Toc300678058"/>
            <w:bookmarkStart w:id="12" w:name="_Toc303864875"/>
            <w:r>
              <w:rPr>
                <w:rFonts w:hint="eastAsia" w:asciiTheme="minorEastAsia" w:hAnsiTheme="minorEastAsia" w:eastAsiaTheme="minorEastAsia"/>
                <w:bCs/>
                <w:sz w:val="28"/>
                <w:szCs w:val="28"/>
              </w:rPr>
              <w:t>序号</w:t>
            </w:r>
          </w:p>
        </w:tc>
        <w:tc>
          <w:tcPr>
            <w:tcW w:w="1418" w:type="dxa"/>
            <w:vAlign w:val="center"/>
          </w:tcPr>
          <w:p>
            <w:pPr>
              <w:rPr>
                <w:rFonts w:asciiTheme="minorEastAsia" w:hAnsiTheme="minorEastAsia" w:eastAsiaTheme="minorEastAsia"/>
                <w:bCs/>
                <w:sz w:val="28"/>
                <w:szCs w:val="28"/>
              </w:rPr>
            </w:pPr>
            <w:r>
              <w:rPr>
                <w:rFonts w:hint="eastAsia" w:asciiTheme="minorEastAsia" w:hAnsiTheme="minorEastAsia" w:eastAsiaTheme="minorEastAsia"/>
                <w:bCs/>
                <w:sz w:val="28"/>
                <w:szCs w:val="28"/>
              </w:rPr>
              <w:t>条款名称</w:t>
            </w:r>
          </w:p>
        </w:tc>
        <w:tc>
          <w:tcPr>
            <w:tcW w:w="7547" w:type="dxa"/>
            <w:gridSpan w:val="4"/>
            <w:vAlign w:val="center"/>
          </w:tcPr>
          <w:p>
            <w:pPr>
              <w:rPr>
                <w:rFonts w:asciiTheme="minorEastAsia" w:hAnsiTheme="minorEastAsia" w:eastAsiaTheme="minorEastAsia"/>
                <w:bCs/>
                <w:sz w:val="28"/>
                <w:szCs w:val="28"/>
              </w:rPr>
            </w:pPr>
            <w:r>
              <w:rPr>
                <w:rFonts w:hint="eastAsia" w:asciiTheme="minorEastAsia" w:hAnsiTheme="minorEastAsia" w:eastAsiaTheme="minorEastAsia"/>
                <w:bCs/>
                <w:sz w:val="28"/>
                <w:szCs w:val="28"/>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货物名称</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中间包保温覆盖剂（碳化稻壳型）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exac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数量</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约</w:t>
            </w:r>
            <w:r>
              <w:rPr>
                <w:rFonts w:hint="eastAsia" w:asciiTheme="minorEastAsia" w:hAnsiTheme="minorEastAsia" w:eastAsiaTheme="minorEastAsia"/>
                <w:sz w:val="28"/>
                <w:szCs w:val="28"/>
                <w:lang w:val="en-US" w:eastAsia="zh-CN"/>
              </w:rPr>
              <w:t>72</w:t>
            </w:r>
            <w:r>
              <w:rPr>
                <w:rFonts w:hint="eastAsia" w:asciiTheme="minorEastAsia" w:hAnsiTheme="minorEastAsia" w:eastAsiaTheme="minorEastAsia"/>
                <w:sz w:val="28"/>
                <w:szCs w:val="28"/>
              </w:rPr>
              <w:t>0吨，具体数量以</w:t>
            </w:r>
            <w:r>
              <w:rPr>
                <w:rFonts w:hint="eastAsia" w:asciiTheme="minorEastAsia" w:hAnsiTheme="minorEastAsia" w:eastAsiaTheme="minorEastAsia"/>
                <w:sz w:val="28"/>
                <w:szCs w:val="28"/>
                <w:lang w:eastAsia="zh-CN"/>
              </w:rPr>
              <w:t>炼钢</w:t>
            </w:r>
            <w:r>
              <w:rPr>
                <w:rFonts w:hint="eastAsia" w:asciiTheme="minorEastAsia" w:hAnsiTheme="minorEastAsia" w:eastAsiaTheme="minorEastAsia"/>
                <w:sz w:val="28"/>
                <w:szCs w:val="28"/>
              </w:rPr>
              <w:t>厂计划为准，均衡到货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6" w:hRule="exac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交货时间</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202</w:t>
            </w: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1-6</w:t>
            </w:r>
            <w:r>
              <w:rPr>
                <w:rFonts w:hint="eastAsia" w:asciiTheme="minorEastAsia" w:hAnsiTheme="minorEastAsia" w:eastAsiaTheme="minorEastAsia"/>
                <w:sz w:val="28"/>
                <w:szCs w:val="28"/>
              </w:rPr>
              <w:t>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6" w:hRule="exac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4</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交货地点</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衡阳华菱钢管(连轧管)有限公司厂内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6" w:hRule="exac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5</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合同类型</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固定单价合同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2" w:hRule="exac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6</w:t>
            </w:r>
          </w:p>
        </w:tc>
        <w:tc>
          <w:tcPr>
            <w:tcW w:w="1418" w:type="dxa"/>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招标文件澄清</w:t>
            </w:r>
          </w:p>
        </w:tc>
        <w:tc>
          <w:tcPr>
            <w:tcW w:w="7547" w:type="dxa"/>
            <w:gridSpan w:val="4"/>
            <w:vAlign w:val="center"/>
          </w:tcPr>
          <w:p>
            <w:pPr>
              <w:adjustRightInd w:val="0"/>
              <w:snapToGrid w:val="0"/>
              <w:spacing w:line="360" w:lineRule="exact"/>
              <w:rPr>
                <w:rFonts w:asciiTheme="minorEastAsia" w:hAnsiTheme="minorEastAsia" w:eastAsiaTheme="minorEastAsia"/>
                <w:sz w:val="28"/>
                <w:szCs w:val="28"/>
              </w:rPr>
            </w:pPr>
            <w:r>
              <w:rPr>
                <w:rFonts w:asciiTheme="minorEastAsia" w:hAnsiTheme="minorEastAsia" w:eastAsiaTheme="minorEastAsia"/>
                <w:sz w:val="28"/>
                <w:szCs w:val="28"/>
              </w:rPr>
              <w:t>任何要求对招标文件进行澄清的投标人，均应在投标截止日叁天以前按投标邀请书中的地址，以书面形式</w:t>
            </w:r>
            <w:r>
              <w:rPr>
                <w:rFonts w:hint="eastAsia" w:asciiTheme="minorEastAsia" w:hAnsiTheme="minorEastAsia" w:eastAsiaTheme="minorEastAsia"/>
                <w:sz w:val="28"/>
                <w:szCs w:val="28"/>
              </w:rPr>
              <w:t>或</w:t>
            </w:r>
            <w:r>
              <w:rPr>
                <w:rFonts w:asciiTheme="minorEastAsia" w:hAnsiTheme="minorEastAsia" w:eastAsiaTheme="minorEastAsia"/>
                <w:sz w:val="28"/>
                <w:szCs w:val="28"/>
              </w:rPr>
              <w:t>电</w:t>
            </w:r>
            <w:r>
              <w:rPr>
                <w:rFonts w:hint="eastAsia" w:asciiTheme="minorEastAsia" w:hAnsiTheme="minorEastAsia" w:eastAsiaTheme="minorEastAsia"/>
                <w:sz w:val="28"/>
                <w:szCs w:val="28"/>
              </w:rPr>
              <w:t>子邮件(照片、PDF、扫描件)</w:t>
            </w:r>
            <w:r>
              <w:rPr>
                <w:rFonts w:asciiTheme="minorEastAsia" w:hAnsiTheme="minorEastAsia" w:eastAsiaTheme="minorEastAsia"/>
                <w:sz w:val="28"/>
                <w:szCs w:val="28"/>
              </w:rPr>
              <w:t>等</w:t>
            </w:r>
            <w:r>
              <w:rPr>
                <w:rFonts w:hint="eastAsia" w:asciiTheme="minorEastAsia" w:hAnsiTheme="minorEastAsia" w:eastAsiaTheme="minorEastAsia"/>
                <w:sz w:val="28"/>
                <w:szCs w:val="28"/>
              </w:rPr>
              <w:t>形式</w:t>
            </w:r>
            <w:r>
              <w:rPr>
                <w:rFonts w:asciiTheme="minorEastAsia" w:hAnsiTheme="minorEastAsia" w:eastAsiaTheme="minorEastAsia"/>
                <w:sz w:val="28"/>
                <w:szCs w:val="28"/>
              </w:rPr>
              <w:t>通知招标方，招标方对投标截止叁天以前收到的任何澄清要求将以书面形式或其它合适的形式予以答复。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7</w:t>
            </w:r>
          </w:p>
        </w:tc>
        <w:tc>
          <w:tcPr>
            <w:tcW w:w="1418" w:type="dxa"/>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招标文件修改</w:t>
            </w:r>
          </w:p>
        </w:tc>
        <w:tc>
          <w:tcPr>
            <w:tcW w:w="7547" w:type="dxa"/>
            <w:gridSpan w:val="4"/>
            <w:vAlign w:val="center"/>
          </w:tcPr>
          <w:p>
            <w:pPr>
              <w:tabs>
                <w:tab w:val="left" w:pos="735"/>
              </w:tabs>
              <w:adjustRightInd w:val="0"/>
              <w:snapToGrid w:val="0"/>
              <w:spacing w:line="3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在投标截止日期前的任何时候，无论出于何种原因，招标方可以主动或在</w:t>
            </w:r>
            <w:r>
              <w:rPr>
                <w:rFonts w:hint="eastAsia" w:asciiTheme="minorEastAsia" w:hAnsiTheme="minorEastAsia" w:eastAsiaTheme="minorEastAsia"/>
                <w:sz w:val="28"/>
                <w:szCs w:val="28"/>
              </w:rPr>
              <w:t>接受</w:t>
            </w:r>
            <w:r>
              <w:rPr>
                <w:rFonts w:asciiTheme="minorEastAsia" w:hAnsiTheme="minorEastAsia" w:eastAsiaTheme="minorEastAsia"/>
                <w:sz w:val="28"/>
                <w:szCs w:val="28"/>
              </w:rPr>
              <w:t>投标人提出的澄清问题</w:t>
            </w:r>
            <w:r>
              <w:rPr>
                <w:rFonts w:hint="eastAsia" w:asciiTheme="minorEastAsia" w:hAnsiTheme="minorEastAsia" w:eastAsiaTheme="minorEastAsia"/>
                <w:sz w:val="28"/>
                <w:szCs w:val="28"/>
              </w:rPr>
              <w:t>后</w:t>
            </w:r>
            <w:r>
              <w:rPr>
                <w:rFonts w:asciiTheme="minorEastAsia" w:hAnsiTheme="minorEastAsia" w:eastAsiaTheme="minorEastAsia"/>
                <w:sz w:val="28"/>
                <w:szCs w:val="28"/>
              </w:rPr>
              <w:t>对招标文件进行修改。招标文件的修改书将构成招标文件的一部份。</w:t>
            </w:r>
          </w:p>
          <w:p>
            <w:pPr>
              <w:tabs>
                <w:tab w:val="left" w:pos="735"/>
              </w:tabs>
              <w:adjustRightInd w:val="0"/>
              <w:snapToGrid w:val="0"/>
              <w:spacing w:line="3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对招标文件的修改，将以书面、传真</w:t>
            </w:r>
            <w:r>
              <w:rPr>
                <w:rFonts w:hint="eastAsia" w:asciiTheme="minorEastAsia" w:hAnsiTheme="minorEastAsia" w:eastAsiaTheme="minorEastAsia"/>
                <w:sz w:val="28"/>
                <w:szCs w:val="28"/>
              </w:rPr>
              <w:t>、电子邮件</w:t>
            </w:r>
            <w:r>
              <w:rPr>
                <w:rFonts w:asciiTheme="minorEastAsia" w:hAnsiTheme="minorEastAsia" w:eastAsiaTheme="minorEastAsia"/>
                <w:sz w:val="28"/>
                <w:szCs w:val="28"/>
              </w:rPr>
              <w:t>的形式通知已获取招标文件的</w:t>
            </w:r>
            <w:r>
              <w:rPr>
                <w:rFonts w:hint="eastAsia" w:asciiTheme="minorEastAsia" w:hAnsiTheme="minorEastAsia" w:eastAsiaTheme="minorEastAsia"/>
                <w:sz w:val="28"/>
                <w:szCs w:val="28"/>
              </w:rPr>
              <w:t>投标人</w:t>
            </w:r>
            <w:r>
              <w:rPr>
                <w:rFonts w:asciiTheme="minorEastAsia" w:hAnsiTheme="minorEastAsia" w:eastAsiaTheme="minorEastAsia"/>
                <w:sz w:val="28"/>
                <w:szCs w:val="28"/>
              </w:rPr>
              <w:t>，补充文件作为招标文件的组成部分，对所有投标方有相同的约束力。</w:t>
            </w:r>
          </w:p>
          <w:p>
            <w:pPr>
              <w:tabs>
                <w:tab w:val="left" w:pos="720"/>
              </w:tabs>
              <w:adjustRightInd w:val="0"/>
              <w:snapToGrid w:val="0"/>
              <w:spacing w:line="3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为使投标人编写投标文件时有充分时间对招标文件的修改部分进行研究，招标方可以自行决定，酌情延长投标截止日期。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8</w:t>
            </w:r>
          </w:p>
        </w:tc>
        <w:tc>
          <w:tcPr>
            <w:tcW w:w="1418" w:type="dxa"/>
            <w:vAlign w:val="center"/>
          </w:tcPr>
          <w:p>
            <w:pPr>
              <w:pStyle w:val="15"/>
              <w:tabs>
                <w:tab w:val="left" w:pos="840"/>
              </w:tabs>
              <w:spacing w:after="20" w:line="300" w:lineRule="exact"/>
              <w:ind w:left="431" w:hanging="431"/>
              <w:rPr>
                <w:rFonts w:asciiTheme="minorEastAsia" w:hAnsiTheme="minorEastAsia" w:eastAsiaTheme="minorEastAsia"/>
                <w:bCs/>
                <w:sz w:val="28"/>
                <w:szCs w:val="28"/>
              </w:rPr>
            </w:pPr>
            <w:r>
              <w:rPr>
                <w:rFonts w:hint="eastAsia" w:asciiTheme="minorEastAsia" w:hAnsiTheme="minorEastAsia" w:eastAsiaTheme="minorEastAsia"/>
                <w:bCs/>
                <w:sz w:val="28"/>
                <w:szCs w:val="28"/>
              </w:rPr>
              <w:t>投标文件递交</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1、纸质文件：投标人将投标文件在投标截止时间前送达或邮寄至开标地点。迟到的投标文件将被拒绝。</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2、电子文件：投标人用U盘将电子版投标文件在投标截止时间前递交至开标地点（与纸质投标文件一起）或发送至招标方指定邮箱（HYST-ZB3@hysteeltube.com</w:t>
            </w:r>
            <w:r>
              <w:rPr>
                <w:rFonts w:asciiTheme="minorEastAsia" w:hAnsiTheme="minorEastAsia" w:eastAsiaTheme="minorEastAsia"/>
                <w:sz w:val="28"/>
                <w:szCs w:val="28"/>
              </w:rPr>
              <w:t>）</w:t>
            </w:r>
            <w:r>
              <w:rPr>
                <w:rFonts w:hint="eastAsia" w:asciiTheme="minorEastAsia" w:hAnsiTheme="minorEastAsia" w:eastAsiaTheme="minorEastAsia"/>
                <w:sz w:val="28"/>
                <w:szCs w:val="28"/>
              </w:rPr>
              <w:t>。</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hint="eastAsia" w:asciiTheme="minorEastAsia" w:hAnsiTheme="minorEastAsia" w:eastAsiaTheme="minorEastAsia"/>
                <w:b/>
                <w:sz w:val="28"/>
                <w:szCs w:val="28"/>
              </w:rPr>
              <w:t>采用电子邮件方式投标的，迟到的投标文件及发错邮箱的投标文件将被拒绝(视同废标)。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9</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投标文件构成</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投标文件资料如下：</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第一部分投标函部分</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第二部分商务标部分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10</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bCs/>
                <w:sz w:val="28"/>
                <w:szCs w:val="28"/>
              </w:rPr>
              <w:t>费用承担</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投标人</w:t>
            </w:r>
            <w:r>
              <w:rPr>
                <w:rFonts w:asciiTheme="minorEastAsia" w:hAnsiTheme="minorEastAsia" w:eastAsiaTheme="minorEastAsia"/>
                <w:sz w:val="28"/>
                <w:szCs w:val="28"/>
              </w:rPr>
              <w:t>应承担所有与编写和提交投标文件有关的费用，不论投标的结果如何，招标方在任何情况下均无义务和责任承担这些费用。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11</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bCs/>
                <w:sz w:val="28"/>
                <w:szCs w:val="28"/>
              </w:rPr>
              <w:t>保密</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参与招标投标活动的各方应对招标文件和投标文件中的商业和技术等资料保密，违者应对由此造成的后果承担法律责任。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12</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bCs/>
                <w:sz w:val="28"/>
                <w:szCs w:val="28"/>
              </w:rPr>
              <w:t>语言文字</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除专用术语外，与招标投标有关的语言均使用中文。必要时专用术语应附有中文注释。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13</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bCs/>
                <w:sz w:val="28"/>
                <w:szCs w:val="28"/>
              </w:rPr>
              <w:t>计量单位</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所有计量均采用中华人民共和国法定计量单位。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14</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bCs/>
                <w:sz w:val="28"/>
                <w:szCs w:val="28"/>
              </w:rPr>
              <w:t>投标文件的编制</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1、投标文件应按 “投标文件格式”进行编写，如有必要，可以增加附页，作为投标文件的组成部分。投标函在满足招标文件实质性要求的基础上，可以提出比招标文件要求更有利于招标人的承诺。</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2、投标文件应当对招标文件评标办法的规定、合同条款、采购清单、技术规格要求、投标文件格式等内容做出实质性响应。</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3、投标文件应用不褪色的黑色碳素笔填写或打印，并由投标人的法定代表人或其委托代理人签字和盖单位章。委托代理人签字的投标文件应附法定代表人签署的授权委托书。投标文件应尽量避免涂改或删除。如果出现上述情况，改动之处应加盖单位章或由投标人的法定代表人或授权代理人签字确认。</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4、纸制版与电子版投标文件内容必须一致。（电子版投标文件制作用正本扫描，保存为PDF文件格式。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15</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商务/技术偏离</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允许（ 技术规格书不允许除外）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16</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签字盖章要求</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1、投标文件封面、投标函、开标</w:t>
            </w:r>
            <w:r>
              <w:rPr>
                <w:rFonts w:asciiTheme="minorEastAsia" w:hAnsiTheme="minorEastAsia" w:eastAsiaTheme="minorEastAsia"/>
                <w:sz w:val="28"/>
                <w:szCs w:val="28"/>
              </w:rPr>
              <w:t>一览表</w:t>
            </w:r>
            <w:r>
              <w:rPr>
                <w:rFonts w:hint="eastAsia" w:asciiTheme="minorEastAsia" w:hAnsiTheme="minorEastAsia" w:eastAsiaTheme="minorEastAsia"/>
                <w:sz w:val="28"/>
                <w:szCs w:val="28"/>
              </w:rPr>
              <w:t>、</w:t>
            </w:r>
            <w:r>
              <w:rPr>
                <w:rFonts w:asciiTheme="minorEastAsia" w:hAnsiTheme="minorEastAsia" w:eastAsiaTheme="minorEastAsia"/>
                <w:sz w:val="28"/>
                <w:szCs w:val="28"/>
              </w:rPr>
              <w:t>偏离表</w:t>
            </w:r>
            <w:r>
              <w:rPr>
                <w:rFonts w:hint="eastAsia" w:asciiTheme="minorEastAsia" w:hAnsiTheme="minorEastAsia" w:eastAsiaTheme="minorEastAsia"/>
                <w:sz w:val="28"/>
                <w:szCs w:val="28"/>
              </w:rPr>
              <w:t>、法定代表人身份证明、法定代表人授权书、保证金承诺函、开票信息表等必须由投标人的法定代表人或其委托代理人亲自签字和加盖单位章。</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2、上述签字盖章要求投标文件正本须本人亲笔签字、盖章必须为原章。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17</w:t>
            </w:r>
          </w:p>
        </w:tc>
        <w:tc>
          <w:tcPr>
            <w:tcW w:w="1418" w:type="dxa"/>
            <w:vAlign w:val="center"/>
          </w:tcPr>
          <w:p>
            <w:pPr>
              <w:spacing w:line="288" w:lineRule="auto"/>
              <w:jc w:val="left"/>
              <w:rPr>
                <w:rFonts w:asciiTheme="minorEastAsia" w:hAnsiTheme="minorEastAsia" w:eastAsiaTheme="minorEastAsia"/>
                <w:bCs/>
                <w:sz w:val="28"/>
                <w:szCs w:val="28"/>
              </w:rPr>
            </w:pPr>
            <w:r>
              <w:rPr>
                <w:rFonts w:hint="eastAsia" w:asciiTheme="minorEastAsia" w:hAnsiTheme="minorEastAsia" w:eastAsiaTheme="minorEastAsia"/>
                <w:sz w:val="28"/>
                <w:szCs w:val="28"/>
              </w:rPr>
              <w:t>投标文件份数</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1、纸制正本、电子版（含PDF版投标文件+EXCEL版商务标）各一份。</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2、投标文件封面上应清楚地标记“正本”。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18</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装订</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装订顺序要求：</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投标函部分：包括投标函目录的内容；</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商务标部分：包括商务标目录的内容；</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上述二部分装订为一本，每份装订应牢固、不易拆散和换页，提倡双面打印。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19</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封标</w:t>
            </w:r>
          </w:p>
        </w:tc>
        <w:tc>
          <w:tcPr>
            <w:tcW w:w="7547" w:type="dxa"/>
            <w:gridSpan w:val="4"/>
            <w:vAlign w:val="center"/>
          </w:tcPr>
          <w:p>
            <w:pPr>
              <w:snapToGrid w:val="0"/>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（项 目 名 称）投标文件在    年  月  日   时  分前不得开启                投标人：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20</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投标有效期</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从</w:t>
            </w:r>
            <w:r>
              <w:rPr>
                <w:rFonts w:hint="eastAsia" w:asciiTheme="minorEastAsia" w:hAnsiTheme="minorEastAsia" w:eastAsiaTheme="minorEastAsia"/>
                <w:sz w:val="28"/>
                <w:szCs w:val="28"/>
              </w:rPr>
              <w:t>投标文件递交截止时间及开标时间</w:t>
            </w:r>
            <w:r>
              <w:rPr>
                <w:rFonts w:asciiTheme="minorEastAsia" w:hAnsiTheme="minorEastAsia" w:eastAsiaTheme="minorEastAsia"/>
                <w:sz w:val="28"/>
                <w:szCs w:val="28"/>
              </w:rPr>
              <w:t>起算的60日历天投标有效期内有效</w:t>
            </w:r>
            <w:r>
              <w:rPr>
                <w:rFonts w:hint="eastAsia" w:asciiTheme="minorEastAsia" w:hAnsiTheme="minorEastAsia" w:eastAsiaTheme="minorEastAsia"/>
                <w:sz w:val="28"/>
                <w:szCs w:val="28"/>
              </w:rPr>
              <w:t>。</w:t>
            </w:r>
          </w:p>
          <w:p>
            <w:pPr>
              <w:pStyle w:val="62"/>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2、投标有效期内，投标人不得要求撤销或修改其投标文件内容。</w:t>
            </w:r>
          </w:p>
          <w:p>
            <w:pPr>
              <w:pStyle w:val="62"/>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3、出现特殊情况需要延长投标有效期的，招标人以书面形式通知所有投标人延长投标有效期。投标人同意延长的，应相应延长其投标保证金的有效期，但不得修改投标文件实质性内容；投标人拒绝延长的，其投标失效，但投标人有权收回其投标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21</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投标保</w:t>
            </w:r>
          </w:p>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证金</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1、投标保证金</w:t>
            </w:r>
            <w:r>
              <w:rPr>
                <w:rFonts w:hint="eastAsia" w:asciiTheme="minorEastAsia" w:hAnsiTheme="minorEastAsia" w:eastAsiaTheme="minorEastAsia"/>
                <w:b/>
                <w:bCs/>
                <w:sz w:val="28"/>
                <w:szCs w:val="28"/>
                <w:u w:val="single"/>
                <w:lang w:val="en-US" w:eastAsia="zh-CN"/>
              </w:rPr>
              <w:t>20</w:t>
            </w:r>
            <w:r>
              <w:rPr>
                <w:rFonts w:hint="eastAsia" w:asciiTheme="minorEastAsia" w:hAnsiTheme="minorEastAsia" w:eastAsiaTheme="minorEastAsia"/>
                <w:b/>
                <w:bCs/>
                <w:sz w:val="28"/>
                <w:szCs w:val="28"/>
                <w:u w:val="single"/>
              </w:rPr>
              <w:t>000</w:t>
            </w:r>
            <w:r>
              <w:rPr>
                <w:rFonts w:asciiTheme="minorEastAsia" w:hAnsiTheme="minorEastAsia" w:eastAsiaTheme="minorEastAsia"/>
                <w:b/>
                <w:sz w:val="28"/>
                <w:szCs w:val="28"/>
                <w:u w:val="single"/>
              </w:rPr>
              <w:t>元</w:t>
            </w:r>
            <w:r>
              <w:rPr>
                <w:rFonts w:asciiTheme="minorEastAsia" w:hAnsiTheme="minorEastAsia" w:eastAsiaTheme="minorEastAsia"/>
                <w:sz w:val="28"/>
                <w:szCs w:val="28"/>
              </w:rPr>
              <w:t>人民币</w:t>
            </w:r>
            <w:r>
              <w:rPr>
                <w:rFonts w:hint="eastAsia" w:asciiTheme="minorEastAsia" w:hAnsiTheme="minorEastAsia" w:eastAsiaTheme="minorEastAsia"/>
                <w:sz w:val="28"/>
                <w:szCs w:val="28"/>
              </w:rPr>
              <w:t>。</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2、投标保证金类型：银行汇票、转账凭证、货款或工程款（在衡钢有足额货款或工程款的，可充抵保证金，但须提交投标保证金承诺函）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817" w:type="dxa"/>
            <w:vAlign w:val="center"/>
          </w:tcPr>
          <w:p>
            <w:pPr>
              <w:ind w:firstLine="280"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22</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投标保证金规定</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1、中标人投标保证金在招标方与中标人签订合同送合格品入厂或货品验收后20个工作日后退还。</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2、未中标人投标保证金（银行汇票、转账）于中标通知书发出之日起20个工作日内退还。</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3、有下列情形之一的，投标保证金将不予退还：</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（1）投标人在规定的投标有效期内撤销或修改其投标文件。</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（2）中标人在收到中标通知书后，无正当理由拒签合同和协议书或未按招标文件规定提交履约担保。</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（3）投标人</w:t>
            </w:r>
            <w:r>
              <w:rPr>
                <w:rFonts w:asciiTheme="minorEastAsia" w:hAnsiTheme="minorEastAsia" w:eastAsiaTheme="minorEastAsia"/>
                <w:sz w:val="28"/>
                <w:szCs w:val="28"/>
              </w:rPr>
              <w:t>存在腐败或欺诈</w:t>
            </w:r>
            <w:r>
              <w:rPr>
                <w:rFonts w:hint="eastAsia" w:asciiTheme="minorEastAsia" w:hAnsiTheme="minorEastAsia" w:eastAsiaTheme="minorEastAsia"/>
                <w:sz w:val="28"/>
                <w:szCs w:val="28"/>
              </w:rPr>
              <w:t>、</w:t>
            </w:r>
            <w:r>
              <w:rPr>
                <w:rFonts w:asciiTheme="minorEastAsia" w:hAnsiTheme="minorEastAsia" w:eastAsiaTheme="minorEastAsia"/>
                <w:sz w:val="28"/>
                <w:szCs w:val="28"/>
              </w:rPr>
              <w:t>串通投标</w:t>
            </w:r>
            <w:r>
              <w:rPr>
                <w:rFonts w:hint="eastAsia" w:asciiTheme="minorEastAsia" w:hAnsiTheme="minorEastAsia" w:eastAsiaTheme="minorEastAsia"/>
                <w:sz w:val="28"/>
                <w:szCs w:val="28"/>
              </w:rPr>
              <w:t>等违法违规</w:t>
            </w:r>
            <w:r>
              <w:rPr>
                <w:rFonts w:asciiTheme="minorEastAsia" w:hAnsiTheme="minorEastAsia" w:eastAsiaTheme="minorEastAsia"/>
                <w:sz w:val="28"/>
                <w:szCs w:val="28"/>
              </w:rPr>
              <w:t>行为</w:t>
            </w:r>
            <w:r>
              <w:rPr>
                <w:rFonts w:hint="eastAsia" w:asciiTheme="minorEastAsia" w:hAnsiTheme="minorEastAsia" w:eastAsiaTheme="minorEastAsia"/>
                <w:sz w:val="28"/>
                <w:szCs w:val="2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23</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开标程序</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1、密封情况检查：由招标人或投标人代表检查。</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2、开标顺序：按递交投标文件的先后顺序或抽签。</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3、招标人在规定的开标时间和地点公开唱标，</w:t>
            </w:r>
            <w:r>
              <w:rPr>
                <w:rFonts w:asciiTheme="minorEastAsia" w:hAnsiTheme="minorEastAsia" w:eastAsiaTheme="minorEastAsia"/>
                <w:sz w:val="28"/>
                <w:szCs w:val="28"/>
              </w:rPr>
              <w:t>招标人主持开标会议</w:t>
            </w:r>
            <w:r>
              <w:rPr>
                <w:rFonts w:hint="eastAsia" w:asciiTheme="minorEastAsia" w:hAnsiTheme="minorEastAsia" w:eastAsiaTheme="minorEastAsia"/>
                <w:sz w:val="28"/>
                <w:szCs w:val="28"/>
              </w:rPr>
              <w:t>，并邀请投标人的法定代表人或委托代理人准时参加.</w:t>
            </w:r>
          </w:p>
          <w:p>
            <w:pPr>
              <w:spacing w:line="360" w:lineRule="exact"/>
              <w:jc w:val="left"/>
              <w:rPr>
                <w:rFonts w:asciiTheme="minorEastAsia" w:hAnsiTheme="minorEastAsia" w:eastAsiaTheme="min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24</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评标委员会组建</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评标专家确定方式：招标方从衡钢评委专家库中抽取。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25</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评标</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招标方将组建评标委员会，其成员由技术、经济、法律</w:t>
            </w:r>
            <w:r>
              <w:rPr>
                <w:rFonts w:hint="eastAsia" w:asciiTheme="minorEastAsia" w:hAnsiTheme="minorEastAsia" w:eastAsiaTheme="minorEastAsia"/>
                <w:sz w:val="28"/>
                <w:szCs w:val="28"/>
              </w:rPr>
              <w:t>、财务</w:t>
            </w:r>
            <w:r>
              <w:rPr>
                <w:rFonts w:asciiTheme="minorEastAsia" w:hAnsiTheme="minorEastAsia" w:eastAsiaTheme="minorEastAsia"/>
                <w:sz w:val="28"/>
                <w:szCs w:val="28"/>
              </w:rPr>
              <w:t>等方面的专家代表组成。评标委员会对投标文件进行审查、评估和比较。</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开标后，直至向中标的投标人授予合同时止，凡与审查、澄清、评价和比较投标的有关资料及授标意见等，均不得向与评标无关其他人透露。</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在评标过程中，如果投标人试图在投标文件审查、澄清、比较及授予合同方面向招标方施加任何影响，其投标</w:t>
            </w:r>
            <w:r>
              <w:rPr>
                <w:rFonts w:hint="eastAsia" w:asciiTheme="minorEastAsia" w:hAnsiTheme="minorEastAsia" w:eastAsiaTheme="minorEastAsia"/>
                <w:sz w:val="28"/>
                <w:szCs w:val="28"/>
              </w:rPr>
              <w:t>文件</w:t>
            </w:r>
            <w:r>
              <w:rPr>
                <w:rFonts w:asciiTheme="minorEastAsia" w:hAnsiTheme="minorEastAsia" w:eastAsiaTheme="minorEastAsia"/>
                <w:sz w:val="28"/>
                <w:szCs w:val="28"/>
              </w:rPr>
              <w:t>将被拒绝</w:t>
            </w:r>
          </w:p>
          <w:p>
            <w:pPr>
              <w:pStyle w:val="62"/>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4、评标活动遵循公平、公正、科学和择优的原则。</w:t>
            </w:r>
          </w:p>
          <w:p>
            <w:pPr>
              <w:pStyle w:val="62"/>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5、评标委员会按照“评标办法”规定的评审因素、标准和程序对投标文件进行评审。 评标办法没有规定的方法、评审因素和标准，不作为评标依据。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26</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资格审查</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如果没有进行资格预审，招标方将对</w:t>
            </w:r>
            <w:r>
              <w:rPr>
                <w:rFonts w:hint="eastAsia" w:asciiTheme="minorEastAsia" w:hAnsiTheme="minorEastAsia" w:eastAsiaTheme="minorEastAsia"/>
                <w:sz w:val="28"/>
                <w:szCs w:val="28"/>
              </w:rPr>
              <w:t>评审价最低</w:t>
            </w:r>
            <w:r>
              <w:rPr>
                <w:rFonts w:asciiTheme="minorEastAsia" w:hAnsiTheme="minorEastAsia" w:eastAsiaTheme="minorEastAsia"/>
                <w:sz w:val="28"/>
                <w:szCs w:val="28"/>
              </w:rPr>
              <w:t>的投标人是否有能力履行合同义务进行审查。</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审查将根据投标人按规定提交的资格证明文件和招标方认为其它有必要的、合适的</w:t>
            </w:r>
            <w:r>
              <w:rPr>
                <w:rFonts w:hint="eastAsia" w:asciiTheme="minorEastAsia" w:hAnsiTheme="minorEastAsia" w:eastAsiaTheme="minorEastAsia"/>
                <w:sz w:val="28"/>
                <w:szCs w:val="28"/>
              </w:rPr>
              <w:t>方式（含现场考察）</w:t>
            </w:r>
            <w:r>
              <w:rPr>
                <w:rFonts w:asciiTheme="minorEastAsia" w:hAnsiTheme="minorEastAsia" w:eastAsiaTheme="minorEastAsia"/>
                <w:sz w:val="28"/>
                <w:szCs w:val="28"/>
              </w:rPr>
              <w:t>，对投标人的财务、</w:t>
            </w:r>
            <w:r>
              <w:rPr>
                <w:rFonts w:hint="eastAsia" w:asciiTheme="minorEastAsia" w:hAnsiTheme="minorEastAsia" w:eastAsiaTheme="minorEastAsia"/>
                <w:sz w:val="28"/>
                <w:szCs w:val="28"/>
              </w:rPr>
              <w:t>业绩、</w:t>
            </w:r>
            <w:r>
              <w:rPr>
                <w:rFonts w:asciiTheme="minorEastAsia" w:hAnsiTheme="minorEastAsia" w:eastAsiaTheme="minorEastAsia"/>
                <w:sz w:val="28"/>
                <w:szCs w:val="28"/>
              </w:rPr>
              <w:t>技术和生产能力等进行审查。</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如果审查通过，则将合同授予投标人；如果审查没有通过，则拒绝其投标。在此情况下，招标方将对下一个</w:t>
            </w:r>
            <w:r>
              <w:rPr>
                <w:rFonts w:hint="eastAsia" w:asciiTheme="minorEastAsia" w:hAnsiTheme="minorEastAsia" w:eastAsiaTheme="minorEastAsia"/>
                <w:sz w:val="28"/>
                <w:szCs w:val="28"/>
              </w:rPr>
              <w:t>评审价较低</w:t>
            </w:r>
            <w:r>
              <w:rPr>
                <w:rFonts w:asciiTheme="minorEastAsia" w:hAnsiTheme="minorEastAsia" w:eastAsiaTheme="minorEastAsia"/>
                <w:sz w:val="28"/>
                <w:szCs w:val="28"/>
              </w:rPr>
              <w:t>的投标人的能力作类似审查。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27</w:t>
            </w:r>
          </w:p>
        </w:tc>
        <w:tc>
          <w:tcPr>
            <w:tcW w:w="1418" w:type="dxa"/>
            <w:vAlign w:val="center"/>
          </w:tcPr>
          <w:p>
            <w:pPr>
              <w:pStyle w:val="15"/>
              <w:tabs>
                <w:tab w:val="left" w:pos="840"/>
              </w:tabs>
              <w:spacing w:after="20" w:line="300" w:lineRule="exact"/>
              <w:ind w:left="431" w:hanging="431"/>
              <w:jc w:val="left"/>
              <w:rPr>
                <w:rFonts w:asciiTheme="minorEastAsia" w:hAnsiTheme="minorEastAsia" w:eastAsiaTheme="minorEastAsia"/>
                <w:bCs/>
                <w:sz w:val="28"/>
                <w:szCs w:val="28"/>
                <w:u w:val="single"/>
              </w:rPr>
            </w:pPr>
          </w:p>
          <w:p>
            <w:pPr>
              <w:pStyle w:val="15"/>
              <w:tabs>
                <w:tab w:val="left" w:pos="840"/>
              </w:tabs>
              <w:spacing w:after="20" w:line="300" w:lineRule="exact"/>
              <w:ind w:left="431" w:hanging="431"/>
              <w:jc w:val="left"/>
              <w:rPr>
                <w:rFonts w:asciiTheme="minorEastAsia" w:hAnsiTheme="minorEastAsia" w:eastAsiaTheme="minorEastAsia"/>
                <w:bCs/>
                <w:sz w:val="28"/>
                <w:szCs w:val="28"/>
              </w:rPr>
            </w:pPr>
            <w:r>
              <w:rPr>
                <w:rFonts w:asciiTheme="minorEastAsia" w:hAnsiTheme="minorEastAsia" w:eastAsiaTheme="minorEastAsia"/>
                <w:bCs/>
                <w:sz w:val="28"/>
                <w:szCs w:val="28"/>
              </w:rPr>
              <w:t>废标原则</w:t>
            </w:r>
          </w:p>
          <w:p>
            <w:pPr>
              <w:spacing w:line="288" w:lineRule="auto"/>
              <w:jc w:val="left"/>
              <w:rPr>
                <w:rFonts w:asciiTheme="minorEastAsia" w:hAnsiTheme="minorEastAsia" w:eastAsiaTheme="minorEastAsia"/>
                <w:bCs/>
                <w:sz w:val="28"/>
                <w:szCs w:val="28"/>
              </w:rPr>
            </w:pPr>
          </w:p>
        </w:tc>
        <w:tc>
          <w:tcPr>
            <w:tcW w:w="7547" w:type="dxa"/>
            <w:gridSpan w:val="4"/>
            <w:vAlign w:val="center"/>
          </w:tcPr>
          <w:p>
            <w:pPr>
              <w:spacing w:line="4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全部投标单位不具备投标资格。</w:t>
            </w:r>
          </w:p>
          <w:p>
            <w:pPr>
              <w:spacing w:line="4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全部投标均未对招标文件</w:t>
            </w:r>
            <w:r>
              <w:rPr>
                <w:rFonts w:hint="eastAsia" w:asciiTheme="minorEastAsia" w:hAnsiTheme="minorEastAsia" w:eastAsiaTheme="minorEastAsia"/>
                <w:sz w:val="28"/>
                <w:szCs w:val="28"/>
              </w:rPr>
              <w:t>做</w:t>
            </w:r>
            <w:r>
              <w:rPr>
                <w:rFonts w:asciiTheme="minorEastAsia" w:hAnsiTheme="minorEastAsia" w:eastAsiaTheme="minorEastAsia"/>
                <w:sz w:val="28"/>
                <w:szCs w:val="28"/>
              </w:rPr>
              <w:t>出基本响应。</w:t>
            </w:r>
          </w:p>
          <w:p>
            <w:pPr>
              <w:spacing w:line="4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投标价超过招标方的承受能力（或期望值）。</w:t>
            </w:r>
          </w:p>
          <w:p>
            <w:pPr>
              <w:spacing w:line="4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4、</w:t>
            </w:r>
            <w:r>
              <w:rPr>
                <w:rFonts w:asciiTheme="minorEastAsia" w:hAnsiTheme="minorEastAsia" w:eastAsiaTheme="minorEastAsia"/>
                <w:sz w:val="28"/>
                <w:szCs w:val="28"/>
              </w:rPr>
              <w:t>因有效投标人不足，明显缺乏竞争力</w:t>
            </w:r>
            <w:r>
              <w:rPr>
                <w:rFonts w:hint="eastAsia" w:asciiTheme="minorEastAsia" w:hAnsiTheme="minorEastAsia" w:eastAsiaTheme="minorEastAsia"/>
                <w:sz w:val="28"/>
                <w:szCs w:val="28"/>
              </w:rPr>
              <w:t>。</w:t>
            </w:r>
          </w:p>
          <w:p>
            <w:pPr>
              <w:spacing w:line="4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5、有串通投标或弄虚作假或有其他违法行为的。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28</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bCs/>
                <w:sz w:val="28"/>
                <w:szCs w:val="28"/>
              </w:rPr>
              <w:t>合同授予</w:t>
            </w:r>
          </w:p>
        </w:tc>
        <w:tc>
          <w:tcPr>
            <w:tcW w:w="7547" w:type="dxa"/>
            <w:gridSpan w:val="4"/>
            <w:vAlign w:val="center"/>
          </w:tcPr>
          <w:p>
            <w:pPr>
              <w:spacing w:line="4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招标方将把合同授予被确定为实质上响应招标文件要求的、能够满意地履行合同义务的</w:t>
            </w:r>
            <w:r>
              <w:rPr>
                <w:rFonts w:hint="eastAsia" w:asciiTheme="minorEastAsia" w:hAnsiTheme="minorEastAsia" w:eastAsiaTheme="minorEastAsia"/>
                <w:sz w:val="28"/>
                <w:szCs w:val="28"/>
              </w:rPr>
              <w:t>经评审价最低</w:t>
            </w:r>
            <w:r>
              <w:rPr>
                <w:rFonts w:asciiTheme="minorEastAsia" w:hAnsiTheme="minorEastAsia" w:eastAsiaTheme="minorEastAsia"/>
                <w:sz w:val="28"/>
                <w:szCs w:val="28"/>
              </w:rPr>
              <w:t>的</w:t>
            </w:r>
            <w:r>
              <w:rPr>
                <w:rFonts w:hint="eastAsia" w:asciiTheme="minorEastAsia" w:hAnsiTheme="minorEastAsia" w:eastAsiaTheme="minorEastAsia"/>
                <w:sz w:val="28"/>
                <w:szCs w:val="28"/>
              </w:rPr>
              <w:t>一到两个</w:t>
            </w:r>
            <w:r>
              <w:rPr>
                <w:rFonts w:asciiTheme="minorEastAsia" w:hAnsiTheme="minorEastAsia" w:eastAsiaTheme="minorEastAsia"/>
                <w:sz w:val="28"/>
                <w:szCs w:val="28"/>
              </w:rPr>
              <w:t>投标人。</w:t>
            </w:r>
            <w:r>
              <w:rPr>
                <w:rFonts w:hint="eastAsia" w:asciiTheme="minorEastAsia" w:hAnsiTheme="minorEastAsia" w:eastAsiaTheme="minorEastAsia"/>
                <w:sz w:val="28"/>
                <w:szCs w:val="28"/>
              </w:rPr>
              <w:t>当采购方将采购供货合同授予二个投标人时，采购量原则上按7：3比例进行分配；合同价为中标最低价。</w:t>
            </w:r>
          </w:p>
          <w:p>
            <w:pPr>
              <w:tabs>
                <w:tab w:val="left" w:pos="840"/>
              </w:tabs>
              <w:spacing w:line="4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2、招标方有权增减采购数量，价格按招标确定的单价执行。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29</w:t>
            </w:r>
          </w:p>
        </w:tc>
        <w:tc>
          <w:tcPr>
            <w:tcW w:w="1418" w:type="dxa"/>
            <w:vAlign w:val="center"/>
          </w:tcPr>
          <w:p>
            <w:pPr>
              <w:spacing w:line="288" w:lineRule="auto"/>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合同价格</w:t>
            </w:r>
          </w:p>
        </w:tc>
        <w:tc>
          <w:tcPr>
            <w:tcW w:w="7547" w:type="dxa"/>
            <w:gridSpan w:val="4"/>
            <w:vAlign w:val="center"/>
          </w:tcPr>
          <w:p>
            <w:pPr>
              <w:tabs>
                <w:tab w:val="left" w:pos="840"/>
              </w:tabs>
              <w:adjustRightInd w:val="0"/>
              <w:snapToGrid w:val="0"/>
              <w:spacing w:line="360" w:lineRule="exact"/>
              <w:rPr>
                <w:rFonts w:asciiTheme="minorEastAsia" w:hAnsiTheme="minorEastAsia" w:eastAsiaTheme="minorEastAsia"/>
                <w:sz w:val="28"/>
                <w:szCs w:val="28"/>
              </w:rPr>
            </w:pPr>
            <w:r>
              <w:rPr>
                <w:rFonts w:hint="eastAsia" w:cs="宋体" w:asciiTheme="minorEastAsia" w:hAnsiTheme="minorEastAsia" w:eastAsiaTheme="minorEastAsia"/>
                <w:sz w:val="28"/>
                <w:szCs w:val="28"/>
              </w:rPr>
              <w:t>合同价格为采购方现场交货价。除非技术规格书中有特别规定，如有则以技术规格书中要求为准。中标人价格包含整个货物及服务项目全费用价格，即价格应包括制造、采购、配套、运输、安装调试（指导）、培训、有关技术服务及合同规定各种税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30</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bCs/>
                <w:sz w:val="28"/>
                <w:szCs w:val="28"/>
              </w:rPr>
              <w:t>中标通知</w:t>
            </w:r>
          </w:p>
        </w:tc>
        <w:tc>
          <w:tcPr>
            <w:tcW w:w="7547" w:type="dxa"/>
            <w:gridSpan w:val="4"/>
            <w:vAlign w:val="center"/>
          </w:tcPr>
          <w:p>
            <w:pPr>
              <w:spacing w:line="3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在投标有效期期满之前，招标方将书面通知中标人中标。</w:t>
            </w:r>
          </w:p>
          <w:p>
            <w:pPr>
              <w:spacing w:line="3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中标通知书将是合同的一个组成部分。</w:t>
            </w:r>
          </w:p>
          <w:p>
            <w:pPr>
              <w:spacing w:line="288" w:lineRule="auto"/>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在中标人按规定提交招标服务费后，招标方将迅速通知其他未中标的投标人，并按规定退还其投标保证金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31</w:t>
            </w:r>
          </w:p>
        </w:tc>
        <w:tc>
          <w:tcPr>
            <w:tcW w:w="1418" w:type="dxa"/>
            <w:vAlign w:val="center"/>
          </w:tcPr>
          <w:p>
            <w:pPr>
              <w:spacing w:line="288" w:lineRule="auto"/>
              <w:rPr>
                <w:rFonts w:asciiTheme="minorEastAsia" w:hAnsiTheme="minorEastAsia" w:eastAsiaTheme="minorEastAsia"/>
                <w:sz w:val="28"/>
                <w:szCs w:val="28"/>
              </w:rPr>
            </w:pPr>
            <w:r>
              <w:rPr>
                <w:rFonts w:hint="eastAsia" w:asciiTheme="minorEastAsia" w:hAnsiTheme="minorEastAsia" w:eastAsiaTheme="minorEastAsia"/>
                <w:bCs/>
                <w:sz w:val="28"/>
                <w:szCs w:val="28"/>
              </w:rPr>
              <w:t>签订合同</w:t>
            </w:r>
          </w:p>
        </w:tc>
        <w:tc>
          <w:tcPr>
            <w:tcW w:w="7547" w:type="dxa"/>
            <w:gridSpan w:val="4"/>
            <w:vAlign w:val="center"/>
          </w:tcPr>
          <w:p>
            <w:pPr>
              <w:spacing w:line="3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1、招标人和中标人应当自中标通知书规定时间签订合同，中标人无正当理由拒签合同的，招标人取消其中标资格，其投标保证金不予退还；给招标人造成的损失超过投标保证金数额的，中标人还应当对超过部分予以赔偿。</w:t>
            </w:r>
          </w:p>
          <w:p>
            <w:pPr>
              <w:spacing w:line="3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招标文件、中标方的投标文件及评标过程中有关澄清文件均可作为合同附件。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17" w:type="dxa"/>
            <w:vMerge w:val="restart"/>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32</w:t>
            </w:r>
          </w:p>
        </w:tc>
        <w:tc>
          <w:tcPr>
            <w:tcW w:w="1418" w:type="dxa"/>
            <w:vMerge w:val="restart"/>
            <w:vAlign w:val="center"/>
          </w:tcPr>
          <w:p>
            <w:pPr>
              <w:spacing w:line="288" w:lineRule="auto"/>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中标服务费标准</w:t>
            </w:r>
          </w:p>
        </w:tc>
        <w:tc>
          <w:tcPr>
            <w:tcW w:w="7547" w:type="dxa"/>
            <w:gridSpan w:val="4"/>
            <w:vAlign w:val="center"/>
          </w:tcPr>
          <w:p>
            <w:pPr>
              <w:tabs>
                <w:tab w:val="left" w:pos="840"/>
              </w:tabs>
              <w:adjustRightInd w:val="0"/>
              <w:snapToGrid w:val="0"/>
              <w:spacing w:line="3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中标单位须向招标单位以转账方式交纳招标服务费，招标服务费采用差额定率累进计费方式收取，标准如下：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17" w:type="dxa"/>
            <w:vMerge w:val="continue"/>
            <w:vAlign w:val="center"/>
          </w:tcPr>
          <w:p>
            <w:pPr>
              <w:spacing w:line="288" w:lineRule="auto"/>
              <w:jc w:val="center"/>
              <w:rPr>
                <w:rFonts w:asciiTheme="minorEastAsia" w:hAnsiTheme="minorEastAsia" w:eastAsiaTheme="minorEastAsia"/>
                <w:sz w:val="28"/>
                <w:szCs w:val="28"/>
              </w:rPr>
            </w:pPr>
          </w:p>
        </w:tc>
        <w:tc>
          <w:tcPr>
            <w:tcW w:w="1418" w:type="dxa"/>
            <w:vMerge w:val="continue"/>
            <w:vAlign w:val="center"/>
          </w:tcPr>
          <w:p>
            <w:pPr>
              <w:spacing w:line="288" w:lineRule="auto"/>
              <w:rPr>
                <w:rFonts w:asciiTheme="minorEastAsia" w:hAnsiTheme="minorEastAsia" w:eastAsiaTheme="minorEastAsia"/>
                <w:sz w:val="28"/>
                <w:szCs w:val="28"/>
              </w:rPr>
            </w:pPr>
          </w:p>
        </w:tc>
        <w:tc>
          <w:tcPr>
            <w:tcW w:w="3293" w:type="dxa"/>
            <w:vAlign w:val="center"/>
          </w:tcPr>
          <w:p>
            <w:pPr>
              <w:spacing w:line="360" w:lineRule="exact"/>
              <w:ind w:left="280" w:hanging="280" w:hangingChars="10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中标金额    </w:t>
            </w:r>
            <w:r>
              <w:rPr>
                <w:rFonts w:asciiTheme="minorEastAsia" w:hAnsiTheme="minorEastAsia" w:eastAsiaTheme="minorEastAsia"/>
                <w:sz w:val="28"/>
                <w:szCs w:val="28"/>
              </w:rPr>
              <w:t>(</w:t>
            </w:r>
            <w:r>
              <w:rPr>
                <w:rFonts w:hint="eastAsia" w:asciiTheme="minorEastAsia" w:hAnsiTheme="minorEastAsia" w:eastAsiaTheme="minorEastAsia"/>
                <w:sz w:val="28"/>
                <w:szCs w:val="28"/>
              </w:rPr>
              <w:t>万元</w:t>
            </w:r>
            <w:r>
              <w:rPr>
                <w:rFonts w:asciiTheme="minorEastAsia" w:hAnsiTheme="minorEastAsia" w:eastAsiaTheme="minorEastAsia"/>
                <w:sz w:val="28"/>
                <w:szCs w:val="28"/>
              </w:rPr>
              <w:t>)</w:t>
            </w:r>
          </w:p>
        </w:tc>
        <w:tc>
          <w:tcPr>
            <w:tcW w:w="1575" w:type="dxa"/>
            <w:vAlign w:val="center"/>
          </w:tcPr>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货物</w:t>
            </w:r>
          </w:p>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招标</w:t>
            </w:r>
          </w:p>
        </w:tc>
        <w:tc>
          <w:tcPr>
            <w:tcW w:w="1369" w:type="dxa"/>
            <w:vAlign w:val="center"/>
          </w:tcPr>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服务</w:t>
            </w:r>
            <w:r>
              <w:rPr>
                <w:rFonts w:hint="eastAsia" w:asciiTheme="minorEastAsia" w:hAnsiTheme="minorEastAsia" w:eastAsiaTheme="minorEastAsia"/>
                <w:sz w:val="28"/>
                <w:szCs w:val="28"/>
              </w:rPr>
              <w:t>及其它</w:t>
            </w:r>
            <w:r>
              <w:rPr>
                <w:rFonts w:asciiTheme="minorEastAsia" w:hAnsiTheme="minorEastAsia" w:eastAsiaTheme="minorEastAsia"/>
                <w:sz w:val="28"/>
                <w:szCs w:val="28"/>
              </w:rPr>
              <w:t>招标</w:t>
            </w:r>
          </w:p>
        </w:tc>
        <w:tc>
          <w:tcPr>
            <w:tcW w:w="1310" w:type="dxa"/>
            <w:vAlign w:val="center"/>
          </w:tcPr>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工程</w:t>
            </w:r>
          </w:p>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17" w:type="dxa"/>
            <w:vMerge w:val="continue"/>
            <w:vAlign w:val="center"/>
          </w:tcPr>
          <w:p>
            <w:pPr>
              <w:spacing w:line="288" w:lineRule="auto"/>
              <w:jc w:val="center"/>
              <w:rPr>
                <w:rFonts w:asciiTheme="minorEastAsia" w:hAnsiTheme="minorEastAsia" w:eastAsiaTheme="minorEastAsia"/>
                <w:sz w:val="28"/>
                <w:szCs w:val="28"/>
              </w:rPr>
            </w:pPr>
          </w:p>
        </w:tc>
        <w:tc>
          <w:tcPr>
            <w:tcW w:w="1418" w:type="dxa"/>
            <w:vMerge w:val="continue"/>
            <w:vAlign w:val="center"/>
          </w:tcPr>
          <w:p>
            <w:pPr>
              <w:spacing w:line="288" w:lineRule="auto"/>
              <w:rPr>
                <w:rFonts w:asciiTheme="minorEastAsia" w:hAnsiTheme="minorEastAsia" w:eastAsiaTheme="minorEastAsia"/>
                <w:kern w:val="0"/>
                <w:sz w:val="28"/>
                <w:szCs w:val="28"/>
              </w:rPr>
            </w:pPr>
          </w:p>
        </w:tc>
        <w:tc>
          <w:tcPr>
            <w:tcW w:w="3293" w:type="dxa"/>
            <w:vAlign w:val="center"/>
          </w:tcPr>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100以下</w:t>
            </w:r>
          </w:p>
        </w:tc>
        <w:tc>
          <w:tcPr>
            <w:tcW w:w="1575"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不收取</w:t>
            </w:r>
          </w:p>
        </w:tc>
        <w:tc>
          <w:tcPr>
            <w:tcW w:w="1369"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0.75%</w:t>
            </w:r>
          </w:p>
        </w:tc>
        <w:tc>
          <w:tcPr>
            <w:tcW w:w="1310"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7" w:type="dxa"/>
            <w:vMerge w:val="continue"/>
            <w:vAlign w:val="center"/>
          </w:tcPr>
          <w:p>
            <w:pPr>
              <w:spacing w:line="288" w:lineRule="auto"/>
              <w:jc w:val="center"/>
              <w:rPr>
                <w:rFonts w:asciiTheme="minorEastAsia" w:hAnsiTheme="minorEastAsia" w:eastAsiaTheme="minorEastAsia"/>
                <w:sz w:val="28"/>
                <w:szCs w:val="28"/>
              </w:rPr>
            </w:pPr>
          </w:p>
        </w:tc>
        <w:tc>
          <w:tcPr>
            <w:tcW w:w="1418" w:type="dxa"/>
            <w:vMerge w:val="continue"/>
            <w:vAlign w:val="center"/>
          </w:tcPr>
          <w:p>
            <w:pPr>
              <w:spacing w:line="288" w:lineRule="auto"/>
              <w:rPr>
                <w:rFonts w:asciiTheme="minorEastAsia" w:hAnsiTheme="minorEastAsia" w:eastAsiaTheme="minorEastAsia"/>
                <w:kern w:val="0"/>
                <w:sz w:val="28"/>
                <w:szCs w:val="28"/>
              </w:rPr>
            </w:pPr>
          </w:p>
        </w:tc>
        <w:tc>
          <w:tcPr>
            <w:tcW w:w="3293" w:type="dxa"/>
            <w:vAlign w:val="center"/>
          </w:tcPr>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100-500</w:t>
            </w:r>
          </w:p>
        </w:tc>
        <w:tc>
          <w:tcPr>
            <w:tcW w:w="1575"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0.55%</w:t>
            </w:r>
          </w:p>
        </w:tc>
        <w:tc>
          <w:tcPr>
            <w:tcW w:w="1369"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0.4%</w:t>
            </w:r>
          </w:p>
        </w:tc>
        <w:tc>
          <w:tcPr>
            <w:tcW w:w="1310"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17" w:type="dxa"/>
            <w:vMerge w:val="continue"/>
            <w:vAlign w:val="center"/>
          </w:tcPr>
          <w:p>
            <w:pPr>
              <w:spacing w:line="288" w:lineRule="auto"/>
              <w:jc w:val="center"/>
              <w:rPr>
                <w:rFonts w:asciiTheme="minorEastAsia" w:hAnsiTheme="minorEastAsia" w:eastAsiaTheme="minorEastAsia"/>
                <w:sz w:val="28"/>
                <w:szCs w:val="28"/>
              </w:rPr>
            </w:pPr>
          </w:p>
        </w:tc>
        <w:tc>
          <w:tcPr>
            <w:tcW w:w="1418" w:type="dxa"/>
            <w:vMerge w:val="continue"/>
            <w:vAlign w:val="center"/>
          </w:tcPr>
          <w:p>
            <w:pPr>
              <w:spacing w:line="288" w:lineRule="auto"/>
              <w:rPr>
                <w:rFonts w:asciiTheme="minorEastAsia" w:hAnsiTheme="minorEastAsia" w:eastAsiaTheme="minorEastAsia"/>
                <w:kern w:val="0"/>
                <w:sz w:val="28"/>
                <w:szCs w:val="28"/>
              </w:rPr>
            </w:pPr>
          </w:p>
        </w:tc>
        <w:tc>
          <w:tcPr>
            <w:tcW w:w="3293" w:type="dxa"/>
            <w:vAlign w:val="center"/>
          </w:tcPr>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500-1000</w:t>
            </w:r>
          </w:p>
        </w:tc>
        <w:tc>
          <w:tcPr>
            <w:tcW w:w="1575"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0.4%</w:t>
            </w:r>
          </w:p>
        </w:tc>
        <w:tc>
          <w:tcPr>
            <w:tcW w:w="1369"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0.28%</w:t>
            </w:r>
          </w:p>
        </w:tc>
        <w:tc>
          <w:tcPr>
            <w:tcW w:w="1310"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7" w:type="dxa"/>
            <w:vMerge w:val="continue"/>
            <w:vAlign w:val="center"/>
          </w:tcPr>
          <w:p>
            <w:pPr>
              <w:spacing w:line="288" w:lineRule="auto"/>
              <w:jc w:val="center"/>
              <w:rPr>
                <w:rFonts w:asciiTheme="minorEastAsia" w:hAnsiTheme="minorEastAsia" w:eastAsiaTheme="minorEastAsia"/>
                <w:sz w:val="28"/>
                <w:szCs w:val="28"/>
              </w:rPr>
            </w:pPr>
          </w:p>
        </w:tc>
        <w:tc>
          <w:tcPr>
            <w:tcW w:w="1418" w:type="dxa"/>
            <w:vMerge w:val="continue"/>
            <w:vAlign w:val="center"/>
          </w:tcPr>
          <w:p>
            <w:pPr>
              <w:spacing w:line="288" w:lineRule="auto"/>
              <w:rPr>
                <w:rFonts w:asciiTheme="minorEastAsia" w:hAnsiTheme="minorEastAsia" w:eastAsiaTheme="minorEastAsia"/>
                <w:kern w:val="0"/>
                <w:sz w:val="28"/>
                <w:szCs w:val="28"/>
              </w:rPr>
            </w:pPr>
          </w:p>
        </w:tc>
        <w:tc>
          <w:tcPr>
            <w:tcW w:w="3293" w:type="dxa"/>
            <w:vAlign w:val="center"/>
          </w:tcPr>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1000-5000</w:t>
            </w:r>
          </w:p>
        </w:tc>
        <w:tc>
          <w:tcPr>
            <w:tcW w:w="1575"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0.25%</w:t>
            </w:r>
          </w:p>
        </w:tc>
        <w:tc>
          <w:tcPr>
            <w:tcW w:w="1369"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0.13%</w:t>
            </w:r>
          </w:p>
        </w:tc>
        <w:tc>
          <w:tcPr>
            <w:tcW w:w="1310"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17" w:type="dxa"/>
            <w:vMerge w:val="continue"/>
            <w:vAlign w:val="center"/>
          </w:tcPr>
          <w:p>
            <w:pPr>
              <w:spacing w:line="288" w:lineRule="auto"/>
              <w:jc w:val="center"/>
              <w:rPr>
                <w:rFonts w:asciiTheme="minorEastAsia" w:hAnsiTheme="minorEastAsia" w:eastAsiaTheme="minorEastAsia"/>
                <w:sz w:val="28"/>
                <w:szCs w:val="28"/>
              </w:rPr>
            </w:pPr>
          </w:p>
        </w:tc>
        <w:tc>
          <w:tcPr>
            <w:tcW w:w="1418" w:type="dxa"/>
            <w:vMerge w:val="continue"/>
            <w:vAlign w:val="center"/>
          </w:tcPr>
          <w:p>
            <w:pPr>
              <w:spacing w:line="288" w:lineRule="auto"/>
              <w:rPr>
                <w:rFonts w:asciiTheme="minorEastAsia" w:hAnsiTheme="minorEastAsia" w:eastAsiaTheme="minorEastAsia"/>
                <w:kern w:val="0"/>
                <w:sz w:val="28"/>
                <w:szCs w:val="28"/>
              </w:rPr>
            </w:pPr>
          </w:p>
        </w:tc>
        <w:tc>
          <w:tcPr>
            <w:tcW w:w="3293"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10000以上</w:t>
            </w:r>
          </w:p>
        </w:tc>
        <w:tc>
          <w:tcPr>
            <w:tcW w:w="1575"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0.03%</w:t>
            </w:r>
          </w:p>
        </w:tc>
        <w:tc>
          <w:tcPr>
            <w:tcW w:w="1369"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0.03%</w:t>
            </w:r>
          </w:p>
        </w:tc>
        <w:tc>
          <w:tcPr>
            <w:tcW w:w="1310"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33</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指定账</w:t>
            </w:r>
            <w:r>
              <w:rPr>
                <w:rFonts w:asciiTheme="minorEastAsia" w:hAnsiTheme="minorEastAsia" w:eastAsiaTheme="minorEastAsia"/>
                <w:sz w:val="28"/>
                <w:szCs w:val="28"/>
              </w:rPr>
              <w:t>户</w:t>
            </w:r>
          </w:p>
        </w:tc>
        <w:tc>
          <w:tcPr>
            <w:tcW w:w="7547" w:type="dxa"/>
            <w:gridSpan w:val="4"/>
            <w:vAlign w:val="center"/>
          </w:tcPr>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投标保证金、</w:t>
            </w:r>
            <w:r>
              <w:rPr>
                <w:rFonts w:hint="eastAsia" w:asciiTheme="minorEastAsia" w:hAnsiTheme="minorEastAsia" w:eastAsiaTheme="minorEastAsia"/>
                <w:b/>
                <w:kern w:val="0"/>
                <w:sz w:val="28"/>
                <w:szCs w:val="28"/>
              </w:rPr>
              <w:t>中标服务费交款</w:t>
            </w:r>
            <w:r>
              <w:rPr>
                <w:rFonts w:hint="eastAsia" w:asciiTheme="minorEastAsia" w:hAnsiTheme="minorEastAsia" w:eastAsiaTheme="minorEastAsia"/>
                <w:b/>
                <w:sz w:val="28"/>
                <w:szCs w:val="28"/>
              </w:rPr>
              <w:t>指定账</w:t>
            </w:r>
            <w:r>
              <w:rPr>
                <w:rFonts w:asciiTheme="minorEastAsia" w:hAnsiTheme="minorEastAsia" w:eastAsiaTheme="minorEastAsia"/>
                <w:b/>
                <w:sz w:val="28"/>
                <w:szCs w:val="28"/>
              </w:rPr>
              <w:t>户</w:t>
            </w:r>
          </w:p>
          <w:p>
            <w:pPr>
              <w:jc w:val="left"/>
              <w:rPr>
                <w:rFonts w:asciiTheme="minorEastAsia" w:hAnsiTheme="minorEastAsia" w:eastAsiaTheme="minorEastAsia"/>
                <w:sz w:val="28"/>
                <w:szCs w:val="28"/>
              </w:rPr>
            </w:pPr>
            <w:r>
              <w:rPr>
                <w:rFonts w:asciiTheme="minorEastAsia" w:hAnsiTheme="minorEastAsia" w:eastAsiaTheme="minorEastAsia"/>
                <w:sz w:val="28"/>
                <w:szCs w:val="28"/>
              </w:rPr>
              <w:t>开户行：</w:t>
            </w:r>
            <w:r>
              <w:rPr>
                <w:rFonts w:hint="eastAsia" w:asciiTheme="minorEastAsia" w:hAnsiTheme="minorEastAsia" w:eastAsiaTheme="minorEastAsia"/>
                <w:sz w:val="28"/>
                <w:szCs w:val="28"/>
              </w:rPr>
              <w:t>工行衡阳银雁支行</w:t>
            </w:r>
          </w:p>
          <w:p>
            <w:pPr>
              <w:jc w:val="left"/>
              <w:rPr>
                <w:rFonts w:asciiTheme="minorEastAsia" w:hAnsiTheme="minorEastAsia" w:eastAsiaTheme="minorEastAsia"/>
                <w:sz w:val="28"/>
                <w:szCs w:val="28"/>
              </w:rPr>
            </w:pPr>
            <w:r>
              <w:rPr>
                <w:rFonts w:asciiTheme="minorEastAsia" w:hAnsiTheme="minorEastAsia" w:eastAsiaTheme="minorEastAsia"/>
                <w:sz w:val="28"/>
                <w:szCs w:val="28"/>
              </w:rPr>
              <w:t>开户名：</w:t>
            </w:r>
            <w:r>
              <w:rPr>
                <w:rFonts w:hint="eastAsia" w:asciiTheme="minorEastAsia" w:hAnsiTheme="minorEastAsia" w:eastAsiaTheme="minorEastAsia"/>
                <w:sz w:val="28"/>
                <w:szCs w:val="28"/>
              </w:rPr>
              <w:t>衡阳华菱连轧管有限公司</w:t>
            </w:r>
          </w:p>
          <w:p>
            <w:pPr>
              <w:jc w:val="left"/>
              <w:rPr>
                <w:rFonts w:asciiTheme="minorEastAsia" w:hAnsiTheme="minorEastAsia" w:eastAsiaTheme="minorEastAsia"/>
                <w:sz w:val="28"/>
                <w:szCs w:val="28"/>
              </w:rPr>
            </w:pPr>
            <w:r>
              <w:rPr>
                <w:rFonts w:asciiTheme="minorEastAsia" w:hAnsiTheme="minorEastAsia" w:eastAsiaTheme="minorEastAsia"/>
                <w:sz w:val="28"/>
                <w:szCs w:val="28"/>
              </w:rPr>
              <w:t>账  号：</w:t>
            </w:r>
            <w:r>
              <w:rPr>
                <w:rFonts w:hint="eastAsia" w:asciiTheme="minorEastAsia" w:hAnsiTheme="minorEastAsia" w:eastAsiaTheme="minorEastAsia"/>
                <w:sz w:val="28"/>
                <w:szCs w:val="28"/>
              </w:rPr>
              <w:t>1905022319020105051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34</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备注</w:t>
            </w:r>
          </w:p>
        </w:tc>
        <w:tc>
          <w:tcPr>
            <w:tcW w:w="7547" w:type="dxa"/>
            <w:gridSpan w:val="4"/>
            <w:vAlign w:val="center"/>
          </w:tcPr>
          <w:p>
            <w:pPr>
              <w:tabs>
                <w:tab w:val="left" w:pos="851"/>
              </w:tabs>
              <w:adjustRightInd w:val="0"/>
              <w:snapToGrid w:val="0"/>
              <w:spacing w:line="360" w:lineRule="exact"/>
              <w:rPr>
                <w:rFonts w:asciiTheme="minorEastAsia" w:hAnsiTheme="minorEastAsia" w:eastAsiaTheme="minorEastAsia"/>
                <w:sz w:val="28"/>
                <w:szCs w:val="28"/>
              </w:rPr>
            </w:pPr>
            <w:r>
              <w:rPr>
                <w:rFonts w:hint="eastAsia" w:ascii="仿宋" w:hAnsi="仿宋" w:eastAsia="仿宋" w:cs="仿宋"/>
                <w:bCs/>
                <w:sz w:val="28"/>
                <w:szCs w:val="28"/>
              </w:rPr>
              <w:t>投标保证金退款、中标服务费和标书费开票请各投标人自行在衡阳华菱钢管有限公司网站</w:t>
            </w:r>
            <w:r>
              <w:fldChar w:fldCharType="begin"/>
            </w:r>
            <w:r>
              <w:instrText xml:space="preserve"> HYPERLINK "http://www.hysteeltube.com/czsc.html" </w:instrText>
            </w:r>
            <w:r>
              <w:fldChar w:fldCharType="separate"/>
            </w:r>
            <w:r>
              <w:rPr>
                <w:rStyle w:val="42"/>
                <w:rFonts w:hint="eastAsia" w:ascii="仿宋" w:hAnsi="仿宋" w:eastAsia="仿宋" w:cs="仿宋"/>
                <w:bCs/>
                <w:color w:val="800080"/>
                <w:sz w:val="28"/>
                <w:szCs w:val="28"/>
              </w:rPr>
              <w:t>http://www.hysteeltube.com/czsc.html</w:t>
            </w:r>
            <w:r>
              <w:rPr>
                <w:rStyle w:val="42"/>
                <w:rFonts w:hint="eastAsia" w:ascii="仿宋" w:hAnsi="仿宋" w:eastAsia="仿宋" w:cs="仿宋"/>
                <w:bCs/>
                <w:color w:val="800080"/>
                <w:sz w:val="28"/>
                <w:szCs w:val="28"/>
              </w:rPr>
              <w:fldChar w:fldCharType="end"/>
            </w:r>
            <w:r>
              <w:rPr>
                <w:rFonts w:hint="eastAsia" w:ascii="仿宋" w:hAnsi="仿宋" w:eastAsia="仿宋" w:cs="仿宋"/>
                <w:bCs/>
                <w:sz w:val="28"/>
                <w:szCs w:val="28"/>
              </w:rPr>
              <w:t>招投标栏目公告信息中下载投标保证金退款、中标费服务及标书开票操作说明办理。</w:t>
            </w:r>
          </w:p>
        </w:tc>
      </w:tr>
    </w:tbl>
    <w:p>
      <w:pPr>
        <w:pStyle w:val="2"/>
        <w:spacing w:before="0" w:after="0"/>
        <w:jc w:val="center"/>
        <w:rPr>
          <w:rFonts w:asciiTheme="minorEastAsia" w:hAnsiTheme="minorEastAsia" w:eastAsiaTheme="minorEastAsia"/>
          <w:b w:val="0"/>
          <w:bCs w:val="0"/>
          <w:sz w:val="28"/>
          <w:szCs w:val="28"/>
        </w:rPr>
      </w:pPr>
    </w:p>
    <w:p>
      <w:pPr>
        <w:rPr>
          <w:rFonts w:asciiTheme="minorEastAsia" w:hAnsiTheme="minorEastAsia" w:eastAsiaTheme="minorEastAsia"/>
        </w:rPr>
      </w:pPr>
      <w:r>
        <w:rPr>
          <w:rFonts w:asciiTheme="minorEastAsia" w:hAnsiTheme="minorEastAsia" w:eastAsiaTheme="minorEastAsia"/>
        </w:rPr>
        <w:br w:type="page"/>
      </w:r>
    </w:p>
    <w:bookmarkEnd w:id="11"/>
    <w:bookmarkEnd w:id="12"/>
    <w:p>
      <w:pPr>
        <w:ind w:firstLine="4638" w:firstLineChars="1650"/>
        <w:rPr>
          <w:rFonts w:asciiTheme="minorEastAsia" w:hAnsiTheme="minorEastAsia" w:eastAsiaTheme="minorEastAsia"/>
          <w:b/>
          <w:sz w:val="28"/>
          <w:szCs w:val="28"/>
        </w:rPr>
      </w:pPr>
      <w:r>
        <w:rPr>
          <w:rFonts w:hint="eastAsia" w:asciiTheme="minorEastAsia" w:hAnsiTheme="minorEastAsia" w:eastAsiaTheme="minorEastAsia"/>
          <w:b/>
          <w:sz w:val="28"/>
          <w:szCs w:val="28"/>
        </w:rPr>
        <w:t>第三章  评标办法</w:t>
      </w:r>
    </w:p>
    <w:tbl>
      <w:tblPr>
        <w:tblStyle w:val="37"/>
        <w:tblW w:w="9162" w:type="dxa"/>
        <w:jc w:val="center"/>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460"/>
        <w:gridCol w:w="1276"/>
        <w:gridCol w:w="1559"/>
        <w:gridCol w:w="5867"/>
      </w:tblGrid>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736" w:type="dxa"/>
            <w:gridSpan w:val="2"/>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条款号</w:t>
            </w:r>
          </w:p>
        </w:tc>
        <w:tc>
          <w:tcPr>
            <w:tcW w:w="1559" w:type="dxa"/>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评审因素</w:t>
            </w:r>
          </w:p>
        </w:tc>
        <w:tc>
          <w:tcPr>
            <w:tcW w:w="5867" w:type="dxa"/>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评审标准</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60" w:type="dxa"/>
            <w:vMerge w:val="restart"/>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1276" w:type="dxa"/>
            <w:vMerge w:val="restart"/>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形式</w:t>
            </w:r>
          </w:p>
          <w:p>
            <w:pPr>
              <w:jc w:val="center"/>
              <w:rPr>
                <w:rFonts w:asciiTheme="minorEastAsia" w:hAnsiTheme="minorEastAsia" w:eastAsiaTheme="minorEastAsia"/>
                <w:sz w:val="24"/>
              </w:rPr>
            </w:pPr>
            <w:r>
              <w:rPr>
                <w:rFonts w:hint="eastAsia" w:asciiTheme="minorEastAsia" w:hAnsiTheme="minorEastAsia" w:eastAsiaTheme="minorEastAsia"/>
                <w:sz w:val="24"/>
              </w:rPr>
              <w:t>评审</w:t>
            </w:r>
          </w:p>
        </w:tc>
        <w:tc>
          <w:tcPr>
            <w:tcW w:w="1559" w:type="dxa"/>
            <w:vAlign w:val="center"/>
          </w:tcPr>
          <w:p>
            <w:pPr>
              <w:spacing w:line="260" w:lineRule="exact"/>
              <w:rPr>
                <w:rFonts w:asciiTheme="minorEastAsia" w:hAnsiTheme="minorEastAsia" w:eastAsiaTheme="minorEastAsia"/>
                <w:kern w:val="0"/>
                <w:sz w:val="24"/>
              </w:rPr>
            </w:pPr>
            <w:r>
              <w:rPr>
                <w:rFonts w:hint="eastAsia" w:asciiTheme="minorEastAsia" w:hAnsiTheme="minorEastAsia" w:eastAsiaTheme="minorEastAsia"/>
                <w:kern w:val="0"/>
                <w:sz w:val="24"/>
              </w:rPr>
              <w:t>递交时间及地点</w:t>
            </w:r>
          </w:p>
        </w:tc>
        <w:tc>
          <w:tcPr>
            <w:tcW w:w="5867" w:type="dxa"/>
            <w:vAlign w:val="center"/>
          </w:tcPr>
          <w:p>
            <w:pPr>
              <w:spacing w:line="260" w:lineRule="exact"/>
              <w:rPr>
                <w:rFonts w:asciiTheme="minorEastAsia" w:hAnsiTheme="minorEastAsia" w:eastAsiaTheme="minorEastAsia"/>
                <w:kern w:val="0"/>
                <w:sz w:val="24"/>
              </w:rPr>
            </w:pPr>
            <w:r>
              <w:rPr>
                <w:rFonts w:hint="eastAsia" w:asciiTheme="minorEastAsia" w:hAnsiTheme="minorEastAsia" w:eastAsiaTheme="minorEastAsia"/>
                <w:kern w:val="0"/>
                <w:sz w:val="24"/>
              </w:rPr>
              <w:t>未按第一章第</w:t>
            </w:r>
            <w:r>
              <w:rPr>
                <w:rFonts w:hint="eastAsia" w:asciiTheme="minorEastAsia" w:hAnsiTheme="minorEastAsia" w:eastAsiaTheme="minorEastAsia"/>
                <w:b/>
                <w:kern w:val="0"/>
                <w:sz w:val="24"/>
              </w:rPr>
              <w:t>3</w:t>
            </w:r>
            <w:r>
              <w:rPr>
                <w:rFonts w:hint="eastAsia" w:asciiTheme="minorEastAsia" w:hAnsiTheme="minorEastAsia" w:eastAsiaTheme="minorEastAsia"/>
                <w:kern w:val="0"/>
                <w:sz w:val="24"/>
              </w:rPr>
              <w:t>项规定投递标书，则为不合格投标人。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460" w:type="dxa"/>
            <w:vMerge w:val="continue"/>
            <w:vAlign w:val="center"/>
          </w:tcPr>
          <w:p>
            <w:pPr>
              <w:jc w:val="center"/>
              <w:rPr>
                <w:rFonts w:asciiTheme="minorEastAsia" w:hAnsiTheme="minorEastAsia" w:eastAsiaTheme="minorEastAsia"/>
                <w:sz w:val="24"/>
              </w:rPr>
            </w:pPr>
          </w:p>
        </w:tc>
        <w:tc>
          <w:tcPr>
            <w:tcW w:w="1276" w:type="dxa"/>
            <w:vMerge w:val="continue"/>
            <w:vAlign w:val="center"/>
          </w:tcPr>
          <w:p>
            <w:pPr>
              <w:jc w:val="center"/>
              <w:rPr>
                <w:rFonts w:asciiTheme="minorEastAsia" w:hAnsiTheme="minorEastAsia" w:eastAsiaTheme="minorEastAsia"/>
                <w:sz w:val="24"/>
              </w:rPr>
            </w:pPr>
          </w:p>
        </w:tc>
        <w:tc>
          <w:tcPr>
            <w:tcW w:w="1559" w:type="dxa"/>
            <w:vAlign w:val="center"/>
          </w:tcPr>
          <w:p>
            <w:pPr>
              <w:spacing w:line="260" w:lineRule="exact"/>
              <w:rPr>
                <w:rFonts w:asciiTheme="minorEastAsia" w:hAnsiTheme="minorEastAsia" w:eastAsiaTheme="minorEastAsia"/>
                <w:kern w:val="0"/>
                <w:sz w:val="24"/>
              </w:rPr>
            </w:pPr>
            <w:r>
              <w:rPr>
                <w:rFonts w:hint="eastAsia" w:asciiTheme="minorEastAsia" w:hAnsiTheme="minorEastAsia" w:eastAsiaTheme="minorEastAsia"/>
                <w:kern w:val="0"/>
                <w:sz w:val="24"/>
              </w:rPr>
              <w:t>装订、密封及格式</w:t>
            </w:r>
          </w:p>
        </w:tc>
        <w:tc>
          <w:tcPr>
            <w:tcW w:w="5867" w:type="dxa"/>
            <w:vAlign w:val="center"/>
          </w:tcPr>
          <w:p>
            <w:pPr>
              <w:spacing w:line="260" w:lineRule="exact"/>
              <w:rPr>
                <w:rFonts w:asciiTheme="minorEastAsia" w:hAnsiTheme="minorEastAsia" w:eastAsiaTheme="minorEastAsia"/>
                <w:kern w:val="0"/>
                <w:sz w:val="24"/>
              </w:rPr>
            </w:pPr>
            <w:r>
              <w:rPr>
                <w:rFonts w:hint="eastAsia" w:asciiTheme="minorEastAsia" w:hAnsiTheme="minorEastAsia" w:eastAsiaTheme="minorEastAsia"/>
                <w:kern w:val="0"/>
                <w:sz w:val="24"/>
              </w:rPr>
              <w:t>未按第二章第</w:t>
            </w:r>
            <w:r>
              <w:rPr>
                <w:rFonts w:hint="eastAsia" w:asciiTheme="minorEastAsia" w:hAnsiTheme="minorEastAsia" w:eastAsiaTheme="minorEastAsia"/>
                <w:b/>
                <w:kern w:val="0"/>
                <w:sz w:val="24"/>
              </w:rPr>
              <w:t>14、18、19</w:t>
            </w:r>
            <w:r>
              <w:rPr>
                <w:rFonts w:hint="eastAsia" w:asciiTheme="minorEastAsia" w:hAnsiTheme="minorEastAsia" w:eastAsiaTheme="minorEastAsia"/>
                <w:kern w:val="0"/>
                <w:sz w:val="24"/>
              </w:rPr>
              <w:t>项规定格式制作标书，则为不合格投标人。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460" w:type="dxa"/>
            <w:vMerge w:val="continue"/>
            <w:vAlign w:val="center"/>
          </w:tcPr>
          <w:p>
            <w:pPr>
              <w:jc w:val="center"/>
              <w:rPr>
                <w:rFonts w:asciiTheme="minorEastAsia" w:hAnsiTheme="minorEastAsia" w:eastAsiaTheme="minorEastAsia"/>
                <w:sz w:val="24"/>
              </w:rPr>
            </w:pPr>
          </w:p>
        </w:tc>
        <w:tc>
          <w:tcPr>
            <w:tcW w:w="1276" w:type="dxa"/>
            <w:vMerge w:val="continue"/>
            <w:vAlign w:val="center"/>
          </w:tcPr>
          <w:p>
            <w:pPr>
              <w:jc w:val="center"/>
              <w:rPr>
                <w:rFonts w:asciiTheme="minorEastAsia" w:hAnsiTheme="minorEastAsia" w:eastAsiaTheme="minorEastAsia"/>
                <w:sz w:val="24"/>
              </w:rPr>
            </w:pPr>
          </w:p>
        </w:tc>
        <w:tc>
          <w:tcPr>
            <w:tcW w:w="1559" w:type="dxa"/>
            <w:vAlign w:val="center"/>
          </w:tcPr>
          <w:p>
            <w:pPr>
              <w:spacing w:line="260" w:lineRule="exact"/>
              <w:rPr>
                <w:rFonts w:asciiTheme="minorEastAsia" w:hAnsiTheme="minorEastAsia" w:eastAsiaTheme="minorEastAsia"/>
                <w:sz w:val="24"/>
              </w:rPr>
            </w:pPr>
            <w:r>
              <w:rPr>
                <w:rFonts w:hint="eastAsia" w:asciiTheme="minorEastAsia" w:hAnsiTheme="minorEastAsia" w:eastAsiaTheme="minorEastAsia"/>
                <w:sz w:val="24"/>
              </w:rPr>
              <w:t>签字盖章</w:t>
            </w:r>
          </w:p>
        </w:tc>
        <w:tc>
          <w:tcPr>
            <w:tcW w:w="5867" w:type="dxa"/>
            <w:vAlign w:val="center"/>
          </w:tcPr>
          <w:p>
            <w:pPr>
              <w:spacing w:line="260" w:lineRule="exact"/>
              <w:rPr>
                <w:rFonts w:asciiTheme="minorEastAsia" w:hAnsiTheme="minorEastAsia" w:eastAsiaTheme="minorEastAsia"/>
                <w:sz w:val="24"/>
              </w:rPr>
            </w:pPr>
            <w:r>
              <w:rPr>
                <w:rFonts w:hint="eastAsia" w:asciiTheme="minorEastAsia" w:hAnsiTheme="minorEastAsia" w:eastAsiaTheme="minorEastAsia"/>
                <w:kern w:val="0"/>
                <w:sz w:val="24"/>
              </w:rPr>
              <w:t>未按第二章第</w:t>
            </w:r>
            <w:r>
              <w:rPr>
                <w:rFonts w:hint="eastAsia" w:asciiTheme="minorEastAsia" w:hAnsiTheme="minorEastAsia" w:eastAsiaTheme="minorEastAsia"/>
                <w:b/>
                <w:kern w:val="0"/>
                <w:sz w:val="24"/>
              </w:rPr>
              <w:t>16</w:t>
            </w:r>
            <w:r>
              <w:rPr>
                <w:rFonts w:hint="eastAsia" w:asciiTheme="minorEastAsia" w:hAnsiTheme="minorEastAsia" w:eastAsiaTheme="minorEastAsia"/>
                <w:kern w:val="0"/>
                <w:sz w:val="24"/>
              </w:rPr>
              <w:t>项规定签字盖章</w:t>
            </w:r>
            <w:r>
              <w:rPr>
                <w:rFonts w:hint="eastAsia" w:asciiTheme="minorEastAsia" w:hAnsiTheme="minorEastAsia" w:eastAsiaTheme="minorEastAsia"/>
                <w:sz w:val="24"/>
              </w:rPr>
              <w:t>，则为不合格投标人。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60" w:type="dxa"/>
            <w:vMerge w:val="restart"/>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276" w:type="dxa"/>
            <w:vMerge w:val="restart"/>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资格</w:t>
            </w:r>
          </w:p>
          <w:p>
            <w:pPr>
              <w:jc w:val="center"/>
              <w:rPr>
                <w:rFonts w:asciiTheme="minorEastAsia" w:hAnsiTheme="minorEastAsia" w:eastAsiaTheme="minorEastAsia"/>
                <w:sz w:val="24"/>
              </w:rPr>
            </w:pPr>
            <w:r>
              <w:rPr>
                <w:rFonts w:hint="eastAsia" w:asciiTheme="minorEastAsia" w:hAnsiTheme="minorEastAsia" w:eastAsiaTheme="minorEastAsia"/>
                <w:sz w:val="24"/>
              </w:rPr>
              <w:t>评审</w:t>
            </w:r>
          </w:p>
        </w:tc>
        <w:tc>
          <w:tcPr>
            <w:tcW w:w="1559" w:type="dxa"/>
            <w:tcBorders>
              <w:right w:val="single" w:color="auto" w:sz="4" w:space="0"/>
            </w:tcBorders>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sz w:val="24"/>
              </w:rPr>
              <w:t>营业执照</w:t>
            </w:r>
          </w:p>
        </w:tc>
        <w:tc>
          <w:tcPr>
            <w:tcW w:w="5867" w:type="dxa"/>
            <w:tcBorders>
              <w:right w:val="single" w:color="auto" w:sz="4" w:space="0"/>
            </w:tcBorders>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sz w:val="24"/>
              </w:rPr>
              <w:t>未提供有效营业执照，</w:t>
            </w:r>
            <w:r>
              <w:rPr>
                <w:rFonts w:hint="eastAsia" w:asciiTheme="minorEastAsia" w:hAnsiTheme="minorEastAsia" w:eastAsiaTheme="minorEastAsia"/>
                <w:kern w:val="0"/>
                <w:sz w:val="24"/>
              </w:rPr>
              <w:t>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460" w:type="dxa"/>
            <w:vMerge w:val="continue"/>
            <w:vAlign w:val="center"/>
          </w:tcPr>
          <w:p>
            <w:pPr>
              <w:jc w:val="center"/>
              <w:rPr>
                <w:rFonts w:asciiTheme="minorEastAsia" w:hAnsiTheme="minorEastAsia" w:eastAsiaTheme="minorEastAsia"/>
                <w:sz w:val="24"/>
              </w:rPr>
            </w:pPr>
          </w:p>
        </w:tc>
        <w:tc>
          <w:tcPr>
            <w:tcW w:w="1276" w:type="dxa"/>
            <w:vMerge w:val="continue"/>
            <w:vAlign w:val="center"/>
          </w:tcPr>
          <w:p>
            <w:pPr>
              <w:jc w:val="center"/>
              <w:rPr>
                <w:rFonts w:asciiTheme="minorEastAsia" w:hAnsiTheme="minorEastAsia" w:eastAsiaTheme="minorEastAsia"/>
                <w:sz w:val="24"/>
              </w:rPr>
            </w:pPr>
          </w:p>
        </w:tc>
        <w:tc>
          <w:tcPr>
            <w:tcW w:w="1559" w:type="dxa"/>
            <w:tcBorders>
              <w:right w:val="single" w:color="auto" w:sz="4" w:space="0"/>
            </w:tcBorders>
            <w:vAlign w:val="center"/>
          </w:tcPr>
          <w:p>
            <w:pPr>
              <w:rPr>
                <w:rFonts w:asciiTheme="minorEastAsia" w:hAnsiTheme="minorEastAsia" w:eastAsiaTheme="minorEastAsia"/>
                <w:sz w:val="24"/>
              </w:rPr>
            </w:pPr>
            <w:r>
              <w:rPr>
                <w:rFonts w:hint="eastAsia" w:asciiTheme="minorEastAsia" w:hAnsiTheme="minorEastAsia" w:eastAsiaTheme="minorEastAsia"/>
                <w:sz w:val="24"/>
              </w:rPr>
              <w:t>投标担保</w:t>
            </w:r>
          </w:p>
        </w:tc>
        <w:tc>
          <w:tcPr>
            <w:tcW w:w="5867" w:type="dxa"/>
            <w:tcBorders>
              <w:right w:val="single" w:color="auto" w:sz="4" w:space="0"/>
            </w:tcBorders>
            <w:vAlign w:val="center"/>
          </w:tcPr>
          <w:p>
            <w:pPr>
              <w:spacing w:line="192" w:lineRule="auto"/>
              <w:rPr>
                <w:rFonts w:asciiTheme="minorEastAsia" w:hAnsiTheme="minorEastAsia" w:eastAsiaTheme="minorEastAsia"/>
                <w:kern w:val="0"/>
                <w:sz w:val="24"/>
              </w:rPr>
            </w:pPr>
            <w:r>
              <w:rPr>
                <w:rFonts w:hint="eastAsia" w:asciiTheme="minorEastAsia" w:hAnsiTheme="minorEastAsia" w:eastAsiaTheme="minorEastAsia"/>
                <w:sz w:val="24"/>
              </w:rPr>
              <w:t>未按第二章第</w:t>
            </w:r>
            <w:r>
              <w:rPr>
                <w:rFonts w:hint="eastAsia" w:asciiTheme="minorEastAsia" w:hAnsiTheme="minorEastAsia" w:eastAsiaTheme="minorEastAsia"/>
                <w:b/>
                <w:sz w:val="24"/>
              </w:rPr>
              <w:t>21</w:t>
            </w:r>
            <w:r>
              <w:rPr>
                <w:rFonts w:hint="eastAsia" w:asciiTheme="minorEastAsia" w:hAnsiTheme="minorEastAsia" w:eastAsiaTheme="minorEastAsia"/>
                <w:sz w:val="24"/>
              </w:rPr>
              <w:t>项规定</w:t>
            </w:r>
            <w:r>
              <w:rPr>
                <w:rFonts w:hint="eastAsia" w:asciiTheme="minorEastAsia" w:hAnsiTheme="minorEastAsia" w:eastAsiaTheme="minorEastAsia"/>
                <w:kern w:val="0"/>
                <w:sz w:val="24"/>
              </w:rPr>
              <w:t>提交担保，则为不合格投标人。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460" w:type="dxa"/>
            <w:vMerge w:val="continue"/>
            <w:vAlign w:val="center"/>
          </w:tcPr>
          <w:p>
            <w:pPr>
              <w:jc w:val="center"/>
              <w:rPr>
                <w:rFonts w:asciiTheme="minorEastAsia" w:hAnsiTheme="minorEastAsia" w:eastAsiaTheme="minorEastAsia"/>
                <w:sz w:val="24"/>
              </w:rPr>
            </w:pPr>
          </w:p>
        </w:tc>
        <w:tc>
          <w:tcPr>
            <w:tcW w:w="1276" w:type="dxa"/>
            <w:vMerge w:val="continue"/>
            <w:vAlign w:val="center"/>
          </w:tcPr>
          <w:p>
            <w:pPr>
              <w:jc w:val="center"/>
              <w:rPr>
                <w:rFonts w:asciiTheme="minorEastAsia" w:hAnsiTheme="minorEastAsia" w:eastAsiaTheme="minorEastAsia"/>
                <w:sz w:val="24"/>
              </w:rPr>
            </w:pPr>
          </w:p>
        </w:tc>
        <w:tc>
          <w:tcPr>
            <w:tcW w:w="1559" w:type="dxa"/>
            <w:tcBorders>
              <w:right w:val="single" w:color="auto" w:sz="4" w:space="0"/>
            </w:tcBorders>
            <w:vAlign w:val="center"/>
          </w:tcPr>
          <w:p>
            <w:pPr>
              <w:rPr>
                <w:rFonts w:asciiTheme="minorEastAsia" w:hAnsiTheme="minorEastAsia" w:eastAsiaTheme="minorEastAsia"/>
                <w:sz w:val="24"/>
              </w:rPr>
            </w:pPr>
            <w:r>
              <w:rPr>
                <w:rFonts w:hint="eastAsia" w:asciiTheme="minorEastAsia" w:hAnsiTheme="minorEastAsia" w:eastAsiaTheme="minorEastAsia"/>
                <w:sz w:val="24"/>
              </w:rPr>
              <w:t>投标人资格</w:t>
            </w:r>
          </w:p>
        </w:tc>
        <w:tc>
          <w:tcPr>
            <w:tcW w:w="5867" w:type="dxa"/>
            <w:tcBorders>
              <w:right w:val="single" w:color="auto" w:sz="4" w:space="0"/>
            </w:tcBorders>
            <w:vAlign w:val="center"/>
          </w:tcPr>
          <w:p>
            <w:pPr>
              <w:spacing w:line="192" w:lineRule="auto"/>
              <w:rPr>
                <w:rFonts w:asciiTheme="minorEastAsia" w:hAnsiTheme="minorEastAsia" w:eastAsiaTheme="minorEastAsia"/>
                <w:kern w:val="0"/>
                <w:sz w:val="24"/>
              </w:rPr>
            </w:pPr>
            <w:r>
              <w:rPr>
                <w:rFonts w:hint="eastAsia" w:asciiTheme="minorEastAsia" w:hAnsiTheme="minorEastAsia" w:eastAsiaTheme="minorEastAsia"/>
                <w:sz w:val="24"/>
              </w:rPr>
              <w:t>未满足第一章中投标人资格要求的</w:t>
            </w:r>
            <w:r>
              <w:rPr>
                <w:rFonts w:hint="eastAsia" w:asciiTheme="minorEastAsia" w:hAnsiTheme="minorEastAsia" w:eastAsiaTheme="minorEastAsia"/>
                <w:kern w:val="0"/>
                <w:sz w:val="24"/>
              </w:rPr>
              <w:t>，则为不合格投标人。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60" w:type="dxa"/>
            <w:vMerge w:val="restart"/>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276" w:type="dxa"/>
            <w:vMerge w:val="restart"/>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响应</w:t>
            </w:r>
          </w:p>
          <w:p>
            <w:pPr>
              <w:jc w:val="center"/>
              <w:rPr>
                <w:rFonts w:asciiTheme="minorEastAsia" w:hAnsiTheme="minorEastAsia" w:eastAsiaTheme="minorEastAsia"/>
                <w:sz w:val="24"/>
              </w:rPr>
            </w:pPr>
            <w:r>
              <w:rPr>
                <w:rFonts w:hint="eastAsia" w:asciiTheme="minorEastAsia" w:hAnsiTheme="minorEastAsia" w:eastAsiaTheme="minorEastAsia"/>
                <w:sz w:val="24"/>
              </w:rPr>
              <w:t>评审</w:t>
            </w:r>
          </w:p>
        </w:tc>
        <w:tc>
          <w:tcPr>
            <w:tcW w:w="1559" w:type="dxa"/>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sz w:val="24"/>
              </w:rPr>
              <w:t>交货时间</w:t>
            </w:r>
          </w:p>
        </w:tc>
        <w:tc>
          <w:tcPr>
            <w:tcW w:w="5867" w:type="dxa"/>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kern w:val="0"/>
                <w:sz w:val="24"/>
              </w:rPr>
              <w:t>交货时间偏离且不被招标方接受，则报价无效。</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460" w:type="dxa"/>
            <w:vMerge w:val="continue"/>
            <w:vAlign w:val="center"/>
          </w:tcPr>
          <w:p>
            <w:pPr>
              <w:jc w:val="center"/>
              <w:rPr>
                <w:rFonts w:asciiTheme="minorEastAsia" w:hAnsiTheme="minorEastAsia" w:eastAsiaTheme="minorEastAsia"/>
                <w:sz w:val="24"/>
              </w:rPr>
            </w:pPr>
          </w:p>
        </w:tc>
        <w:tc>
          <w:tcPr>
            <w:tcW w:w="1276" w:type="dxa"/>
            <w:vMerge w:val="continue"/>
            <w:vAlign w:val="center"/>
          </w:tcPr>
          <w:p>
            <w:pPr>
              <w:jc w:val="center"/>
              <w:rPr>
                <w:rFonts w:asciiTheme="minorEastAsia" w:hAnsiTheme="minorEastAsia" w:eastAsiaTheme="minorEastAsia"/>
                <w:sz w:val="24"/>
              </w:rPr>
            </w:pPr>
          </w:p>
        </w:tc>
        <w:tc>
          <w:tcPr>
            <w:tcW w:w="1559" w:type="dxa"/>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sz w:val="24"/>
              </w:rPr>
              <w:t>生产厂家</w:t>
            </w:r>
          </w:p>
        </w:tc>
        <w:tc>
          <w:tcPr>
            <w:tcW w:w="5867" w:type="dxa"/>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kern w:val="0"/>
                <w:sz w:val="24"/>
              </w:rPr>
              <w:t>要求全称填写，不能简写、</w:t>
            </w:r>
            <w:r>
              <w:rPr>
                <w:rFonts w:asciiTheme="minorEastAsia" w:hAnsiTheme="minorEastAsia" w:eastAsiaTheme="minorEastAsia"/>
                <w:kern w:val="0"/>
                <w:sz w:val="24"/>
              </w:rPr>
              <w:t>音译</w:t>
            </w:r>
            <w:r>
              <w:rPr>
                <w:rFonts w:hint="eastAsia" w:asciiTheme="minorEastAsia" w:hAnsiTheme="minorEastAsia" w:eastAsiaTheme="minorEastAsia"/>
                <w:kern w:val="0"/>
                <w:sz w:val="24"/>
              </w:rPr>
              <w:t>、错别字等问题且须在市场监督管理局登记备案，否则报价无效</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460" w:type="dxa"/>
            <w:vMerge w:val="continue"/>
            <w:vAlign w:val="center"/>
          </w:tcPr>
          <w:p>
            <w:pPr>
              <w:jc w:val="center"/>
              <w:rPr>
                <w:rFonts w:asciiTheme="minorEastAsia" w:hAnsiTheme="minorEastAsia" w:eastAsiaTheme="minorEastAsia"/>
                <w:sz w:val="24"/>
              </w:rPr>
            </w:pPr>
          </w:p>
        </w:tc>
        <w:tc>
          <w:tcPr>
            <w:tcW w:w="1276" w:type="dxa"/>
            <w:vMerge w:val="continue"/>
            <w:vAlign w:val="center"/>
          </w:tcPr>
          <w:p>
            <w:pPr>
              <w:jc w:val="center"/>
              <w:rPr>
                <w:rFonts w:asciiTheme="minorEastAsia" w:hAnsiTheme="minorEastAsia" w:eastAsiaTheme="minorEastAsia"/>
                <w:sz w:val="24"/>
              </w:rPr>
            </w:pPr>
          </w:p>
        </w:tc>
        <w:tc>
          <w:tcPr>
            <w:tcW w:w="1559" w:type="dxa"/>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sz w:val="24"/>
              </w:rPr>
              <w:t>报价有效性</w:t>
            </w:r>
          </w:p>
        </w:tc>
        <w:tc>
          <w:tcPr>
            <w:tcW w:w="5867" w:type="dxa"/>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kern w:val="0"/>
                <w:sz w:val="24"/>
              </w:rPr>
              <w:t>报价远低于市场成本</w:t>
            </w:r>
            <w:r>
              <w:rPr>
                <w:rFonts w:hint="eastAsia" w:asciiTheme="minorEastAsia" w:hAnsiTheme="minorEastAsia" w:eastAsiaTheme="minorEastAsia"/>
                <w:sz w:val="24"/>
              </w:rPr>
              <w:t>或</w:t>
            </w:r>
            <w:r>
              <w:rPr>
                <w:rFonts w:hint="eastAsia" w:asciiTheme="minorEastAsia" w:hAnsiTheme="minorEastAsia" w:eastAsiaTheme="minorEastAsia"/>
                <w:kern w:val="0"/>
                <w:sz w:val="24"/>
              </w:rPr>
              <w:t>有明显错误的，则报价无效。</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460" w:type="dxa"/>
            <w:vMerge w:val="continue"/>
            <w:vAlign w:val="center"/>
          </w:tcPr>
          <w:p>
            <w:pPr>
              <w:jc w:val="center"/>
              <w:rPr>
                <w:rFonts w:asciiTheme="minorEastAsia" w:hAnsiTheme="minorEastAsia" w:eastAsiaTheme="minorEastAsia"/>
                <w:sz w:val="24"/>
              </w:rPr>
            </w:pPr>
          </w:p>
        </w:tc>
        <w:tc>
          <w:tcPr>
            <w:tcW w:w="1276" w:type="dxa"/>
            <w:vMerge w:val="continue"/>
            <w:vAlign w:val="center"/>
          </w:tcPr>
          <w:p>
            <w:pPr>
              <w:jc w:val="center"/>
              <w:rPr>
                <w:rFonts w:asciiTheme="minorEastAsia" w:hAnsiTheme="minorEastAsia" w:eastAsiaTheme="minorEastAsia"/>
                <w:sz w:val="24"/>
              </w:rPr>
            </w:pPr>
          </w:p>
        </w:tc>
        <w:tc>
          <w:tcPr>
            <w:tcW w:w="1559" w:type="dxa"/>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sz w:val="24"/>
              </w:rPr>
              <w:t>技术要求</w:t>
            </w:r>
          </w:p>
        </w:tc>
        <w:tc>
          <w:tcPr>
            <w:tcW w:w="5867" w:type="dxa"/>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kern w:val="0"/>
                <w:sz w:val="24"/>
              </w:rPr>
              <w:t>技术要求偏离且不被招标方接受，则报价无效。</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693" w:hRule="atLeast"/>
          <w:jc w:val="center"/>
        </w:trPr>
        <w:tc>
          <w:tcPr>
            <w:tcW w:w="460"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127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中标</w:t>
            </w:r>
          </w:p>
          <w:p>
            <w:pPr>
              <w:jc w:val="center"/>
              <w:rPr>
                <w:rFonts w:asciiTheme="minorEastAsia" w:hAnsiTheme="minorEastAsia" w:eastAsiaTheme="minorEastAsia"/>
                <w:sz w:val="24"/>
              </w:rPr>
            </w:pPr>
            <w:r>
              <w:rPr>
                <w:rFonts w:hint="eastAsia" w:asciiTheme="minorEastAsia" w:hAnsiTheme="minorEastAsia" w:eastAsiaTheme="minorEastAsia"/>
                <w:sz w:val="24"/>
              </w:rPr>
              <w:t>推荐</w:t>
            </w:r>
          </w:p>
        </w:tc>
        <w:tc>
          <w:tcPr>
            <w:tcW w:w="1559" w:type="dxa"/>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sz w:val="24"/>
              </w:rPr>
              <w:t>中标排序</w:t>
            </w:r>
          </w:p>
        </w:tc>
        <w:tc>
          <w:tcPr>
            <w:tcW w:w="5867" w:type="dxa"/>
            <w:vAlign w:val="center"/>
          </w:tcPr>
          <w:p>
            <w:pPr>
              <w:tabs>
                <w:tab w:val="left" w:pos="0"/>
                <w:tab w:val="left" w:pos="840"/>
              </w:tabs>
              <w:adjustRightInd w:val="0"/>
              <w:snapToGrid w:val="0"/>
              <w:rPr>
                <w:rFonts w:asciiTheme="minorEastAsia" w:hAnsiTheme="minorEastAsia" w:eastAsiaTheme="minorEastAsia"/>
                <w:sz w:val="24"/>
              </w:rPr>
            </w:pPr>
            <w:r>
              <w:rPr>
                <w:rFonts w:hint="eastAsia" w:asciiTheme="minorEastAsia" w:hAnsiTheme="minorEastAsia" w:eastAsiaTheme="minorEastAsia"/>
                <w:sz w:val="24"/>
              </w:rPr>
              <w:t>经评审合格的投标人，按有效价格由低到高排名。价格最低的投标人为第一中标候选人，次低为第二中标候选人，依次类推。招标方根据评审情况，可将供货合同授予一个投标单位也可将供货合同分别授予二个投标单位，当招标方将供货合同授予二个不同的投标单位时，供货数量按7：3比例进行分配，合同价为中标单位的最低价。</w:t>
            </w:r>
          </w:p>
        </w:tc>
      </w:tr>
    </w:tbl>
    <w:p>
      <w:pPr>
        <w:pStyle w:val="35"/>
        <w:ind w:firstLine="3233" w:firstLineChars="1150"/>
        <w:jc w:val="both"/>
        <w:rPr>
          <w:rFonts w:asciiTheme="minorEastAsia" w:hAnsiTheme="minorEastAsia" w:eastAsiaTheme="minorEastAsia"/>
          <w:sz w:val="28"/>
          <w:szCs w:val="28"/>
        </w:rPr>
      </w:pPr>
    </w:p>
    <w:p>
      <w:pPr>
        <w:pStyle w:val="35"/>
        <w:ind w:firstLine="3233" w:firstLineChars="1150"/>
        <w:jc w:val="both"/>
        <w:rPr>
          <w:rFonts w:asciiTheme="minorEastAsia" w:hAnsiTheme="minorEastAsia" w:eastAsiaTheme="minorEastAsia"/>
          <w:sz w:val="28"/>
          <w:szCs w:val="28"/>
        </w:rPr>
      </w:pPr>
    </w:p>
    <w:p>
      <w:pPr>
        <w:jc w:val="left"/>
        <w:rPr>
          <w:rFonts w:asciiTheme="minorEastAsia" w:hAnsiTheme="minorEastAsia" w:eastAsiaTheme="minorEastAsia"/>
          <w:b/>
          <w:bCs/>
          <w:kern w:val="0"/>
          <w:sz w:val="28"/>
          <w:szCs w:val="28"/>
        </w:rPr>
      </w:pPr>
    </w:p>
    <w:p>
      <w:pPr>
        <w:pStyle w:val="35"/>
        <w:rPr>
          <w:rFonts w:asciiTheme="minorEastAsia" w:hAnsiTheme="minorEastAsia" w:eastAsiaTheme="minorEastAsia"/>
          <w:szCs w:val="32"/>
        </w:rPr>
      </w:pPr>
      <w:bookmarkStart w:id="13" w:name="_Toc178419005"/>
      <w:bookmarkStart w:id="14" w:name="_Toc307839279"/>
      <w:bookmarkStart w:id="15" w:name="_Toc1544815"/>
      <w:r>
        <w:rPr>
          <w:rFonts w:hint="eastAsia" w:asciiTheme="minorEastAsia" w:hAnsiTheme="minorEastAsia" w:eastAsiaTheme="minorEastAsia"/>
          <w:szCs w:val="32"/>
        </w:rPr>
        <w:t>第四章  技术规格及要求</w:t>
      </w:r>
      <w:bookmarkEnd w:id="13"/>
      <w:bookmarkEnd w:id="14"/>
    </w:p>
    <w:p>
      <w:pPr>
        <w:pStyle w:val="103"/>
        <w:spacing w:line="460" w:lineRule="exact"/>
        <w:jc w:val="center"/>
        <w:rPr>
          <w:b w:val="0"/>
          <w:bCs w:val="0"/>
          <w:sz w:val="32"/>
          <w:szCs w:val="32"/>
        </w:rPr>
      </w:pPr>
      <w:r>
        <w:rPr>
          <w:spacing w:val="1"/>
          <w:sz w:val="32"/>
          <w:szCs w:val="32"/>
        </w:rPr>
        <w:t>中间包覆盖剂</w:t>
      </w:r>
      <w:r>
        <w:rPr>
          <w:rFonts w:hint="eastAsia"/>
          <w:spacing w:val="1"/>
          <w:sz w:val="32"/>
          <w:szCs w:val="32"/>
        </w:rPr>
        <w:t>HYYJ035-2021a</w:t>
      </w:r>
    </w:p>
    <w:p>
      <w:pPr>
        <w:spacing w:line="500" w:lineRule="exact"/>
        <w:ind w:left="843" w:hanging="843" w:hangingChars="300"/>
        <w:jc w:val="center"/>
        <w:rPr>
          <w:b/>
          <w:sz w:val="28"/>
          <w:szCs w:val="28"/>
        </w:rPr>
      </w:pPr>
    </w:p>
    <w:p>
      <w:pPr>
        <w:spacing w:line="500" w:lineRule="exact"/>
        <w:ind w:left="843" w:hanging="843" w:hangingChars="300"/>
        <w:rPr>
          <w:b/>
          <w:sz w:val="28"/>
          <w:szCs w:val="28"/>
        </w:rPr>
      </w:pPr>
      <w:r>
        <w:rPr>
          <w:rFonts w:hint="eastAsia"/>
          <w:b/>
          <w:sz w:val="28"/>
          <w:szCs w:val="28"/>
        </w:rPr>
        <w:t>1.范围</w:t>
      </w:r>
    </w:p>
    <w:p>
      <w:pPr>
        <w:pStyle w:val="15"/>
        <w:spacing w:before="154" w:line="335" w:lineRule="auto"/>
        <w:ind w:firstLine="480"/>
      </w:pPr>
      <w:r>
        <w:rPr>
          <w:spacing w:val="-2"/>
        </w:rPr>
        <w:t>本规范规定了中间包覆盖剂的技术要求、试验方法、检验规则、包装、储运、标志和质</w:t>
      </w:r>
      <w:r>
        <w:t>量证明书。</w:t>
      </w:r>
    </w:p>
    <w:p>
      <w:pPr>
        <w:pStyle w:val="15"/>
        <w:spacing w:before="32"/>
        <w:ind w:left="628"/>
      </w:pPr>
      <w:r>
        <w:t>本规范适用于弧形连铸中间包用中间包覆盖剂。</w:t>
      </w:r>
    </w:p>
    <w:p>
      <w:pPr>
        <w:spacing w:before="65" w:line="348" w:lineRule="auto"/>
        <w:ind w:left="629" w:hanging="482"/>
        <w:rPr>
          <w:rFonts w:ascii="宋体" w:hAnsi="宋体" w:cs="宋体"/>
          <w:b/>
          <w:bCs/>
          <w:spacing w:val="26"/>
          <w:w w:val="99"/>
          <w:sz w:val="24"/>
        </w:rPr>
      </w:pPr>
      <w:r>
        <w:rPr>
          <w:rFonts w:eastAsia="Calibri" w:cs="Calibri"/>
          <w:b/>
          <w:bCs/>
          <w:sz w:val="24"/>
        </w:rPr>
        <w:t>2</w:t>
      </w:r>
      <w:r>
        <w:rPr>
          <w:rFonts w:ascii="宋体" w:hAnsi="宋体" w:cs="宋体"/>
          <w:b/>
          <w:bCs/>
          <w:sz w:val="24"/>
        </w:rPr>
        <w:t>规范性引用文件</w:t>
      </w:r>
    </w:p>
    <w:p>
      <w:pPr>
        <w:spacing w:before="185" w:line="347" w:lineRule="auto"/>
        <w:ind w:firstLine="660"/>
      </w:pPr>
      <w:r>
        <w:rPr>
          <w:rFonts w:ascii="宋体" w:hAnsi="宋体" w:cs="宋体"/>
          <w:sz w:val="24"/>
        </w:rPr>
        <w:t>下列文件对本文件的应用是必不可少的</w:t>
      </w:r>
      <w:r>
        <w:rPr>
          <w:rFonts w:ascii="宋体" w:hAnsi="宋体" w:cs="宋体"/>
          <w:spacing w:val="-39"/>
          <w:sz w:val="24"/>
        </w:rPr>
        <w:t>。</w:t>
      </w:r>
      <w:r>
        <w:rPr>
          <w:rFonts w:ascii="宋体" w:hAnsi="宋体" w:cs="宋体"/>
          <w:sz w:val="24"/>
        </w:rPr>
        <w:t>凡是注日期的引用文件</w:t>
      </w:r>
      <w:r>
        <w:rPr>
          <w:rFonts w:ascii="宋体" w:hAnsi="宋体" w:cs="宋体"/>
          <w:spacing w:val="-39"/>
          <w:sz w:val="24"/>
        </w:rPr>
        <w:t>，</w:t>
      </w:r>
      <w:r>
        <w:rPr>
          <w:rFonts w:ascii="宋体" w:hAnsi="宋体" w:cs="宋体"/>
          <w:sz w:val="24"/>
        </w:rPr>
        <w:t>仅注日期的版本适用</w:t>
      </w:r>
      <w:r>
        <w:t>于本文件。凡是不注日期的引用文件，其最新版本（包括所有的修改单）适用于本文件。</w:t>
      </w:r>
    </w:p>
    <w:p>
      <w:pPr>
        <w:pStyle w:val="15"/>
        <w:tabs>
          <w:tab w:val="left" w:pos="1845"/>
          <w:tab w:val="left" w:pos="3043"/>
        </w:tabs>
        <w:spacing w:before="125"/>
        <w:ind w:left="585"/>
      </w:pPr>
      <w:r>
        <w:rPr>
          <w:rFonts w:ascii="Calibri" w:hAnsi="Calibri" w:eastAsia="Calibri" w:cs="Calibri"/>
          <w:spacing w:val="-1"/>
        </w:rPr>
        <w:t>GB/T3007</w:t>
      </w:r>
      <w:r>
        <w:rPr>
          <w:rFonts w:ascii="Calibri" w:hAnsi="Calibri" w:eastAsia="Calibri" w:cs="Calibri"/>
          <w:spacing w:val="-1"/>
        </w:rPr>
        <w:tab/>
      </w:r>
      <w:r>
        <w:t>耐火材料</w:t>
      </w:r>
      <w:r>
        <w:tab/>
      </w:r>
      <w:r>
        <w:t>含水量试验方法</w:t>
      </w:r>
    </w:p>
    <w:p>
      <w:pPr>
        <w:pStyle w:val="15"/>
        <w:tabs>
          <w:tab w:val="left" w:pos="1859"/>
        </w:tabs>
        <w:ind w:left="585"/>
      </w:pPr>
      <w:r>
        <w:rPr>
          <w:rFonts w:ascii="Calibri" w:hAnsi="Calibri" w:eastAsia="Calibri" w:cs="Calibri"/>
          <w:spacing w:val="-1"/>
        </w:rPr>
        <w:t>GB/T5069</w:t>
      </w:r>
      <w:r>
        <w:rPr>
          <w:rFonts w:ascii="Calibri" w:hAnsi="Calibri" w:eastAsia="Calibri" w:cs="Calibri"/>
          <w:spacing w:val="-1"/>
        </w:rPr>
        <w:tab/>
      </w:r>
      <w:r>
        <w:rPr>
          <w:spacing w:val="-1"/>
        </w:rPr>
        <w:t>镁铝系耐火材料化学分析方法</w:t>
      </w:r>
    </w:p>
    <w:p>
      <w:pPr>
        <w:pStyle w:val="15"/>
        <w:tabs>
          <w:tab w:val="left" w:pos="1972"/>
          <w:tab w:val="left" w:pos="5090"/>
        </w:tabs>
        <w:spacing w:before="97"/>
        <w:ind w:left="585"/>
      </w:pPr>
      <w:r>
        <w:rPr>
          <w:rFonts w:ascii="Calibri" w:hAnsi="Calibri" w:eastAsia="Calibri" w:cs="Calibri"/>
          <w:spacing w:val="-1"/>
        </w:rPr>
        <w:t>GB/T</w:t>
      </w:r>
      <w:r>
        <w:rPr>
          <w:rFonts w:ascii="Calibri" w:hAnsi="Calibri" w:eastAsia="Calibri" w:cs="Calibri"/>
          <w:spacing w:val="-3"/>
        </w:rPr>
        <w:t>17617</w:t>
      </w:r>
      <w:r>
        <w:rPr>
          <w:spacing w:val="-1"/>
        </w:rPr>
        <w:t>耐火原料和不定形耐火材料</w:t>
      </w:r>
      <w:r>
        <w:rPr>
          <w:rFonts w:hint="eastAsia"/>
          <w:spacing w:val="-1"/>
        </w:rPr>
        <w:t xml:space="preserve">    </w:t>
      </w:r>
      <w:r>
        <w:t>取样</w:t>
      </w:r>
    </w:p>
    <w:p>
      <w:pPr>
        <w:pStyle w:val="15"/>
        <w:tabs>
          <w:tab w:val="left" w:pos="1746"/>
        </w:tabs>
        <w:ind w:left="628"/>
      </w:pPr>
      <w:r>
        <w:rPr>
          <w:rFonts w:ascii="Calibri" w:hAnsi="Calibri" w:eastAsia="Calibri" w:cs="Calibri"/>
          <w:spacing w:val="-1"/>
        </w:rPr>
        <w:t>YB/T186</w:t>
      </w:r>
      <w:r>
        <w:rPr>
          <w:rFonts w:ascii="Calibri" w:hAnsi="Calibri" w:eastAsia="Calibri" w:cs="Calibri"/>
          <w:spacing w:val="-1"/>
        </w:rPr>
        <w:tab/>
      </w:r>
      <w:r>
        <w:rPr>
          <w:spacing w:val="-1"/>
        </w:rPr>
        <w:t>连铸保护渣熔化温度试验方法</w:t>
      </w:r>
    </w:p>
    <w:p>
      <w:pPr>
        <w:pStyle w:val="15"/>
        <w:tabs>
          <w:tab w:val="left" w:pos="1741"/>
        </w:tabs>
        <w:ind w:left="628"/>
      </w:pPr>
      <w:r>
        <w:rPr>
          <w:rFonts w:ascii="Calibri" w:hAnsi="Calibri" w:eastAsia="Calibri" w:cs="Calibri"/>
          <w:spacing w:val="-1"/>
        </w:rPr>
        <w:t>YB/T</w:t>
      </w:r>
      <w:r>
        <w:rPr>
          <w:rFonts w:ascii="Calibri" w:hAnsi="Calibri" w:eastAsia="Calibri" w:cs="Calibri"/>
          <w:spacing w:val="-2"/>
        </w:rPr>
        <w:t>187</w:t>
      </w:r>
      <w:r>
        <w:rPr>
          <w:rFonts w:ascii="Calibri" w:hAnsi="Calibri" w:eastAsia="Calibri" w:cs="Calibri"/>
          <w:spacing w:val="-2"/>
        </w:rPr>
        <w:tab/>
      </w:r>
      <w:r>
        <w:t>连铸保护渣堆积密度试验方法</w:t>
      </w:r>
    </w:p>
    <w:p>
      <w:pPr>
        <w:pStyle w:val="15"/>
        <w:tabs>
          <w:tab w:val="left" w:pos="1746"/>
        </w:tabs>
        <w:spacing w:before="97"/>
        <w:ind w:left="628"/>
      </w:pPr>
      <w:r>
        <w:rPr>
          <w:rFonts w:ascii="Calibri" w:hAnsi="Calibri" w:eastAsia="Calibri" w:cs="Calibri"/>
          <w:spacing w:val="-1"/>
        </w:rPr>
        <w:t>YB/T188</w:t>
      </w:r>
      <w:r>
        <w:rPr>
          <w:rFonts w:ascii="Calibri" w:hAnsi="Calibri" w:eastAsia="Calibri" w:cs="Calibri"/>
          <w:spacing w:val="-1"/>
        </w:rPr>
        <w:tab/>
      </w:r>
      <w:r>
        <w:rPr>
          <w:spacing w:val="-1"/>
        </w:rPr>
        <w:t>连铸保护渣粒度分布试验方法</w:t>
      </w:r>
    </w:p>
    <w:p>
      <w:pPr>
        <w:pStyle w:val="15"/>
        <w:tabs>
          <w:tab w:val="left" w:pos="1746"/>
        </w:tabs>
        <w:ind w:left="628"/>
      </w:pPr>
      <w:r>
        <w:rPr>
          <w:rFonts w:ascii="Calibri" w:hAnsi="Calibri" w:eastAsia="Calibri" w:cs="Calibri"/>
          <w:spacing w:val="-1"/>
        </w:rPr>
        <w:t>YB/T190</w:t>
      </w:r>
      <w:r>
        <w:rPr>
          <w:rFonts w:ascii="Calibri" w:hAnsi="Calibri" w:eastAsia="Calibri" w:cs="Calibri"/>
          <w:spacing w:val="-1"/>
        </w:rPr>
        <w:tab/>
      </w:r>
      <w:r>
        <w:rPr>
          <w:spacing w:val="-1"/>
        </w:rPr>
        <w:t>连铸保护渣化学分析方法</w:t>
      </w:r>
    </w:p>
    <w:p>
      <w:pPr>
        <w:pStyle w:val="104"/>
        <w:spacing w:before="155"/>
        <w:rPr>
          <w:b w:val="0"/>
          <w:bCs w:val="0"/>
        </w:rPr>
      </w:pPr>
      <w:r>
        <w:rPr>
          <w:rFonts w:ascii="Calibri" w:hAnsi="Calibri" w:eastAsia="Calibri" w:cs="Calibri"/>
        </w:rPr>
        <w:t xml:space="preserve">3 </w:t>
      </w:r>
      <w:r>
        <w:t>技术要求</w:t>
      </w:r>
    </w:p>
    <w:p>
      <w:pPr>
        <w:pStyle w:val="15"/>
        <w:spacing w:before="157" w:line="360" w:lineRule="auto"/>
        <w:ind w:left="148"/>
        <w:jc w:val="left"/>
      </w:pPr>
      <w:r>
        <w:rPr>
          <w:rFonts w:ascii="Calibri" w:hAnsi="Calibri" w:eastAsia="Calibri" w:cs="Calibri"/>
        </w:rPr>
        <w:t>3.1</w:t>
      </w:r>
      <w:r>
        <w:rPr>
          <w:spacing w:val="-1"/>
        </w:rPr>
        <w:t>中间包覆盖剂的类别及理化指标应符合表</w:t>
      </w:r>
      <w:r>
        <w:rPr>
          <w:rFonts w:ascii="Calibri" w:hAnsi="Calibri" w:eastAsia="Calibri" w:cs="Calibri"/>
        </w:rPr>
        <w:t>1</w:t>
      </w:r>
      <w:r>
        <w:t>规定</w:t>
      </w:r>
      <w:r>
        <w:rPr>
          <w:rFonts w:hint="eastAsia"/>
        </w:rPr>
        <w:t>。</w:t>
      </w:r>
    </w:p>
    <w:p>
      <w:pPr>
        <w:spacing w:before="129"/>
        <w:ind w:left="3804" w:right="3804"/>
        <w:jc w:val="center"/>
        <w:rPr>
          <w:rFonts w:eastAsia="Calibri" w:cs="Calibri"/>
          <w:szCs w:val="21"/>
        </w:rPr>
      </w:pPr>
      <w:r>
        <w:rPr>
          <w:rFonts w:ascii="黑体" w:hAnsi="黑体" w:eastAsia="黑体" w:cs="黑体"/>
          <w:szCs w:val="21"/>
        </w:rPr>
        <w:t>表</w:t>
      </w:r>
      <w:r>
        <w:rPr>
          <w:rFonts w:eastAsia="Calibri" w:cs="Calibri"/>
          <w:szCs w:val="21"/>
        </w:rPr>
        <w:t>1</w:t>
      </w:r>
    </w:p>
    <w:p>
      <w:pPr>
        <w:spacing w:before="5"/>
        <w:rPr>
          <w:rFonts w:eastAsia="Calibri" w:cs="Calibri"/>
          <w:sz w:val="2"/>
          <w:szCs w:val="2"/>
        </w:rPr>
      </w:pPr>
    </w:p>
    <w:tbl>
      <w:tblPr>
        <w:tblStyle w:val="37"/>
        <w:tblW w:w="10412" w:type="dxa"/>
        <w:jc w:val="center"/>
        <w:tblLayout w:type="fixed"/>
        <w:tblCellMar>
          <w:top w:w="0" w:type="dxa"/>
          <w:left w:w="0" w:type="dxa"/>
          <w:bottom w:w="0" w:type="dxa"/>
          <w:right w:w="0" w:type="dxa"/>
        </w:tblCellMar>
      </w:tblPr>
      <w:tblGrid>
        <w:gridCol w:w="1694"/>
        <w:gridCol w:w="807"/>
        <w:gridCol w:w="751"/>
        <w:gridCol w:w="761"/>
        <w:gridCol w:w="749"/>
        <w:gridCol w:w="706"/>
        <w:gridCol w:w="643"/>
        <w:gridCol w:w="701"/>
        <w:gridCol w:w="1246"/>
        <w:gridCol w:w="1177"/>
        <w:gridCol w:w="1177"/>
      </w:tblGrid>
      <w:tr>
        <w:tblPrEx>
          <w:tblCellMar>
            <w:top w:w="0" w:type="dxa"/>
            <w:left w:w="0" w:type="dxa"/>
            <w:bottom w:w="0" w:type="dxa"/>
            <w:right w:w="0" w:type="dxa"/>
          </w:tblCellMar>
        </w:tblPrEx>
        <w:trPr>
          <w:trHeight w:val="309" w:hRule="exact"/>
          <w:jc w:val="center"/>
        </w:trPr>
        <w:tc>
          <w:tcPr>
            <w:tcW w:w="1694" w:type="dxa"/>
            <w:vMerge w:val="restart"/>
            <w:tcBorders>
              <w:top w:val="single" w:color="000000" w:sz="4" w:space="0"/>
              <w:left w:val="single" w:color="000000" w:sz="4" w:space="0"/>
              <w:right w:val="single" w:color="000000" w:sz="4" w:space="0"/>
            </w:tcBorders>
            <w:noWrap/>
          </w:tcPr>
          <w:p>
            <w:pPr>
              <w:pStyle w:val="105"/>
              <w:spacing w:before="6"/>
              <w:rPr>
                <w:rFonts w:eastAsia="Calibri" w:cs="Calibri"/>
                <w:sz w:val="24"/>
              </w:rPr>
            </w:pPr>
          </w:p>
          <w:p>
            <w:pPr>
              <w:pStyle w:val="105"/>
              <w:ind w:right="2"/>
              <w:jc w:val="center"/>
              <w:rPr>
                <w:rFonts w:ascii="宋体" w:hAnsi="宋体" w:cs="宋体"/>
                <w:szCs w:val="21"/>
              </w:rPr>
            </w:pPr>
            <w:r>
              <w:rPr>
                <w:rFonts w:ascii="宋体" w:hAnsi="宋体" w:cs="宋体"/>
                <w:szCs w:val="21"/>
              </w:rPr>
              <w:t>类别</w:t>
            </w:r>
          </w:p>
        </w:tc>
        <w:tc>
          <w:tcPr>
            <w:tcW w:w="4417" w:type="dxa"/>
            <w:gridSpan w:val="6"/>
            <w:tcBorders>
              <w:top w:val="single" w:color="000000" w:sz="4" w:space="0"/>
              <w:left w:val="single" w:color="000000" w:sz="4" w:space="0"/>
              <w:bottom w:val="single" w:color="000000" w:sz="4" w:space="0"/>
              <w:right w:val="single" w:color="000000" w:sz="4" w:space="0"/>
            </w:tcBorders>
            <w:noWrap/>
          </w:tcPr>
          <w:p>
            <w:pPr>
              <w:pStyle w:val="105"/>
              <w:spacing w:before="5"/>
              <w:jc w:val="center"/>
              <w:rPr>
                <w:rFonts w:eastAsia="Calibri" w:cs="Calibri"/>
                <w:szCs w:val="21"/>
              </w:rPr>
            </w:pPr>
            <w:r>
              <w:rPr>
                <w:rFonts w:ascii="宋体" w:hAnsi="宋体" w:cs="宋体"/>
                <w:spacing w:val="-1"/>
                <w:szCs w:val="21"/>
              </w:rPr>
              <w:t>化学成分，</w:t>
            </w:r>
            <w:r>
              <w:rPr>
                <w:rFonts w:eastAsia="Calibri" w:cs="Calibri"/>
                <w:spacing w:val="-1"/>
                <w:szCs w:val="21"/>
              </w:rPr>
              <w:t>%</w:t>
            </w:r>
          </w:p>
        </w:tc>
        <w:tc>
          <w:tcPr>
            <w:tcW w:w="701" w:type="dxa"/>
            <w:vMerge w:val="restart"/>
            <w:tcBorders>
              <w:top w:val="single" w:color="000000" w:sz="4" w:space="0"/>
              <w:left w:val="single" w:color="000000" w:sz="4" w:space="0"/>
              <w:right w:val="single" w:color="000000" w:sz="4" w:space="0"/>
            </w:tcBorders>
            <w:noWrap/>
            <w:vAlign w:val="center"/>
          </w:tcPr>
          <w:p>
            <w:pPr>
              <w:pStyle w:val="105"/>
              <w:spacing w:before="183"/>
              <w:jc w:val="center"/>
              <w:rPr>
                <w:rFonts w:eastAsia="Calibri" w:cs="Calibri"/>
                <w:szCs w:val="21"/>
              </w:rPr>
            </w:pPr>
            <w:r>
              <w:rPr>
                <w:spacing w:val="-1"/>
              </w:rPr>
              <w:t>H</w:t>
            </w:r>
            <w:r>
              <w:rPr>
                <w:spacing w:val="-1"/>
                <w:position w:val="-2"/>
                <w:sz w:val="14"/>
              </w:rPr>
              <w:t>2</w:t>
            </w:r>
            <w:r>
              <w:rPr>
                <w:spacing w:val="-1"/>
              </w:rPr>
              <w:t>O</w:t>
            </w:r>
          </w:p>
          <w:p>
            <w:pPr>
              <w:pStyle w:val="105"/>
              <w:spacing w:before="44"/>
              <w:jc w:val="center"/>
              <w:rPr>
                <w:rFonts w:eastAsia="Calibri" w:cs="Calibri"/>
                <w:szCs w:val="21"/>
              </w:rPr>
            </w:pPr>
            <w:r>
              <w:t>%</w:t>
            </w:r>
          </w:p>
        </w:tc>
        <w:tc>
          <w:tcPr>
            <w:tcW w:w="1246" w:type="dxa"/>
            <w:vMerge w:val="restart"/>
            <w:tcBorders>
              <w:top w:val="single" w:color="000000" w:sz="4" w:space="0"/>
              <w:left w:val="single" w:color="000000" w:sz="4" w:space="0"/>
              <w:right w:val="single" w:color="000000" w:sz="4" w:space="0"/>
            </w:tcBorders>
            <w:noWrap/>
            <w:vAlign w:val="center"/>
          </w:tcPr>
          <w:p>
            <w:pPr>
              <w:pStyle w:val="105"/>
              <w:spacing w:line="261" w:lineRule="exact"/>
              <w:ind w:right="1"/>
              <w:jc w:val="center"/>
              <w:rPr>
                <w:rFonts w:ascii="宋体" w:hAnsi="宋体" w:cs="宋体"/>
                <w:szCs w:val="21"/>
              </w:rPr>
            </w:pPr>
            <w:r>
              <w:rPr>
                <w:rFonts w:ascii="宋体" w:hAnsi="宋体" w:cs="宋体"/>
                <w:szCs w:val="21"/>
              </w:rPr>
              <w:t>熔化温度</w:t>
            </w:r>
          </w:p>
          <w:p>
            <w:pPr>
              <w:pStyle w:val="105"/>
              <w:spacing w:before="37"/>
              <w:ind w:right="4"/>
              <w:jc w:val="center"/>
              <w:rPr>
                <w:rFonts w:ascii="宋体" w:hAnsi="宋体" w:cs="宋体"/>
                <w:szCs w:val="21"/>
              </w:rPr>
            </w:pPr>
            <w:r>
              <w:rPr>
                <w:rFonts w:ascii="宋体" w:hAnsi="宋体" w:cs="宋体"/>
                <w:szCs w:val="21"/>
              </w:rPr>
              <w:t>℃</w:t>
            </w:r>
          </w:p>
        </w:tc>
        <w:tc>
          <w:tcPr>
            <w:tcW w:w="1177" w:type="dxa"/>
            <w:vMerge w:val="restart"/>
            <w:tcBorders>
              <w:top w:val="single" w:color="000000" w:sz="4" w:space="0"/>
              <w:left w:val="single" w:color="000000" w:sz="4" w:space="0"/>
              <w:right w:val="single" w:color="000000" w:sz="4" w:space="0"/>
            </w:tcBorders>
            <w:noWrap/>
            <w:vAlign w:val="center"/>
          </w:tcPr>
          <w:p>
            <w:pPr>
              <w:pStyle w:val="105"/>
              <w:spacing w:line="261" w:lineRule="exact"/>
              <w:ind w:left="171"/>
              <w:jc w:val="center"/>
              <w:rPr>
                <w:rFonts w:ascii="宋体" w:hAnsi="宋体" w:cs="宋体"/>
                <w:szCs w:val="21"/>
              </w:rPr>
            </w:pPr>
            <w:r>
              <w:rPr>
                <w:rFonts w:ascii="宋体" w:hAnsi="宋体" w:cs="宋体"/>
                <w:szCs w:val="21"/>
              </w:rPr>
              <w:t>堆积密度</w:t>
            </w:r>
          </w:p>
          <w:p>
            <w:pPr>
              <w:pStyle w:val="105"/>
              <w:spacing w:before="44"/>
              <w:ind w:left="126"/>
              <w:jc w:val="center"/>
              <w:rPr>
                <w:rFonts w:eastAsia="Calibri" w:cs="Calibri"/>
                <w:sz w:val="14"/>
                <w:szCs w:val="14"/>
              </w:rPr>
            </w:pPr>
            <w:r>
              <w:rPr>
                <w:spacing w:val="-1"/>
              </w:rPr>
              <w:t>g/cm</w:t>
            </w:r>
            <w:r>
              <w:rPr>
                <w:spacing w:val="-1"/>
                <w:position w:val="10"/>
                <w:sz w:val="14"/>
              </w:rPr>
              <w:t>3</w:t>
            </w:r>
          </w:p>
        </w:tc>
        <w:tc>
          <w:tcPr>
            <w:tcW w:w="1177" w:type="dxa"/>
            <w:tcBorders>
              <w:top w:val="single" w:color="000000" w:sz="4" w:space="0"/>
              <w:left w:val="single" w:color="000000" w:sz="4" w:space="0"/>
              <w:right w:val="single" w:color="000000" w:sz="4" w:space="0"/>
            </w:tcBorders>
            <w:noWrap/>
            <w:vAlign w:val="center"/>
          </w:tcPr>
          <w:p>
            <w:pPr>
              <w:pStyle w:val="105"/>
              <w:spacing w:before="44"/>
              <w:ind w:left="126"/>
              <w:jc w:val="center"/>
              <w:rPr>
                <w:spacing w:val="-1"/>
              </w:rPr>
            </w:pPr>
          </w:p>
        </w:tc>
      </w:tr>
      <w:tr>
        <w:tblPrEx>
          <w:tblCellMar>
            <w:top w:w="0" w:type="dxa"/>
            <w:left w:w="0" w:type="dxa"/>
            <w:bottom w:w="0" w:type="dxa"/>
            <w:right w:w="0" w:type="dxa"/>
          </w:tblCellMar>
        </w:tblPrEx>
        <w:trPr>
          <w:trHeight w:val="429" w:hRule="exact"/>
          <w:jc w:val="center"/>
        </w:trPr>
        <w:tc>
          <w:tcPr>
            <w:tcW w:w="1694" w:type="dxa"/>
            <w:vMerge w:val="continue"/>
            <w:tcBorders>
              <w:left w:val="single" w:color="000000" w:sz="4" w:space="0"/>
              <w:bottom w:val="single" w:color="000000" w:sz="4" w:space="0"/>
              <w:right w:val="single" w:color="000000" w:sz="4" w:space="0"/>
            </w:tcBorders>
            <w:noWrap/>
          </w:tcPr>
          <w:p/>
        </w:tc>
        <w:tc>
          <w:tcPr>
            <w:tcW w:w="807" w:type="dxa"/>
            <w:tcBorders>
              <w:top w:val="single" w:color="000000" w:sz="4" w:space="0"/>
              <w:left w:val="single" w:color="000000" w:sz="4" w:space="0"/>
              <w:bottom w:val="single" w:color="000000" w:sz="4" w:space="0"/>
              <w:right w:val="single" w:color="000000" w:sz="4" w:space="0"/>
            </w:tcBorders>
            <w:noWrap/>
            <w:vAlign w:val="center"/>
          </w:tcPr>
          <w:p>
            <w:pPr>
              <w:pStyle w:val="105"/>
              <w:spacing w:before="159"/>
              <w:ind w:left="218"/>
              <w:jc w:val="center"/>
              <w:rPr>
                <w:rFonts w:eastAsia="Calibri" w:cs="Calibri"/>
                <w:szCs w:val="21"/>
              </w:rPr>
            </w:pPr>
            <w:r>
              <w:rPr>
                <w:spacing w:val="-1"/>
              </w:rPr>
              <w:t>CaO</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pStyle w:val="105"/>
              <w:spacing w:before="159"/>
              <w:ind w:left="190"/>
              <w:jc w:val="center"/>
              <w:rPr>
                <w:rFonts w:eastAsia="Calibri" w:cs="Calibri"/>
                <w:sz w:val="14"/>
                <w:szCs w:val="14"/>
              </w:rPr>
            </w:pPr>
            <w:r>
              <w:rPr>
                <w:spacing w:val="-1"/>
              </w:rPr>
              <w:t>SiO</w:t>
            </w:r>
            <w:r>
              <w:rPr>
                <w:spacing w:val="-1"/>
                <w:position w:val="-2"/>
                <w:sz w:val="14"/>
              </w:rPr>
              <w:t>2</w:t>
            </w:r>
          </w:p>
        </w:tc>
        <w:tc>
          <w:tcPr>
            <w:tcW w:w="761" w:type="dxa"/>
            <w:tcBorders>
              <w:top w:val="single" w:color="000000" w:sz="4" w:space="0"/>
              <w:left w:val="single" w:color="000000" w:sz="4" w:space="0"/>
              <w:bottom w:val="single" w:color="000000" w:sz="4" w:space="0"/>
              <w:right w:val="single" w:color="000000" w:sz="4" w:space="0"/>
            </w:tcBorders>
            <w:noWrap/>
            <w:vAlign w:val="center"/>
          </w:tcPr>
          <w:p>
            <w:pPr>
              <w:pStyle w:val="105"/>
              <w:spacing w:before="159"/>
              <w:ind w:left="147"/>
              <w:jc w:val="center"/>
              <w:rPr>
                <w:rFonts w:eastAsia="Calibri" w:cs="Calibri"/>
                <w:sz w:val="14"/>
                <w:szCs w:val="14"/>
              </w:rPr>
            </w:pPr>
            <w:r>
              <w:rPr>
                <w:spacing w:val="-1"/>
              </w:rPr>
              <w:t>Al</w:t>
            </w:r>
            <w:r>
              <w:rPr>
                <w:spacing w:val="-1"/>
                <w:position w:val="-2"/>
                <w:sz w:val="14"/>
              </w:rPr>
              <w:t>2</w:t>
            </w:r>
            <w:r>
              <w:rPr>
                <w:spacing w:val="-1"/>
              </w:rPr>
              <w:t>O</w:t>
            </w:r>
            <w:r>
              <w:rPr>
                <w:spacing w:val="-1"/>
                <w:position w:val="-2"/>
                <w:sz w:val="14"/>
              </w:rPr>
              <w:t>3</w:t>
            </w:r>
          </w:p>
        </w:tc>
        <w:tc>
          <w:tcPr>
            <w:tcW w:w="749" w:type="dxa"/>
            <w:tcBorders>
              <w:top w:val="single" w:color="000000" w:sz="4" w:space="0"/>
              <w:left w:val="single" w:color="000000" w:sz="4" w:space="0"/>
              <w:bottom w:val="single" w:color="000000" w:sz="4" w:space="0"/>
              <w:right w:val="single" w:color="000000" w:sz="4" w:space="0"/>
            </w:tcBorders>
            <w:noWrap/>
            <w:vAlign w:val="center"/>
          </w:tcPr>
          <w:p>
            <w:pPr>
              <w:pStyle w:val="105"/>
              <w:spacing w:before="159"/>
              <w:ind w:left="159"/>
              <w:jc w:val="center"/>
              <w:rPr>
                <w:rFonts w:eastAsia="Calibri" w:cs="Calibri"/>
                <w:szCs w:val="21"/>
              </w:rPr>
            </w:pPr>
            <w:r>
              <w:rPr>
                <w:spacing w:val="-1"/>
              </w:rPr>
              <w:t>MgO</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pStyle w:val="105"/>
              <w:spacing w:before="159"/>
              <w:ind w:left="104"/>
              <w:jc w:val="center"/>
              <w:rPr>
                <w:rFonts w:eastAsia="Calibri" w:cs="Calibri"/>
                <w:sz w:val="14"/>
                <w:szCs w:val="14"/>
              </w:rPr>
            </w:pPr>
            <w:r>
              <w:rPr>
                <w:spacing w:val="-2"/>
              </w:rPr>
              <w:t>Fe</w:t>
            </w:r>
            <w:r>
              <w:rPr>
                <w:spacing w:val="-2"/>
                <w:position w:val="-2"/>
                <w:sz w:val="14"/>
              </w:rPr>
              <w:t>2</w:t>
            </w:r>
            <w:r>
              <w:rPr>
                <w:spacing w:val="-2"/>
              </w:rPr>
              <w:t>O</w:t>
            </w:r>
            <w:r>
              <w:rPr>
                <w:spacing w:val="-2"/>
                <w:position w:val="-2"/>
                <w:sz w:val="14"/>
              </w:rPr>
              <w:t>3</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pStyle w:val="105"/>
              <w:spacing w:before="159"/>
              <w:jc w:val="center"/>
              <w:rPr>
                <w:rFonts w:eastAsia="Calibri" w:cs="Calibri"/>
                <w:szCs w:val="21"/>
              </w:rPr>
            </w:pPr>
            <w:r>
              <w:t>C</w:t>
            </w:r>
          </w:p>
        </w:tc>
        <w:tc>
          <w:tcPr>
            <w:tcW w:w="701" w:type="dxa"/>
            <w:vMerge w:val="continue"/>
            <w:tcBorders>
              <w:left w:val="single" w:color="000000" w:sz="4" w:space="0"/>
              <w:bottom w:val="single" w:color="000000" w:sz="4" w:space="0"/>
              <w:right w:val="single" w:color="000000" w:sz="4" w:space="0"/>
            </w:tcBorders>
            <w:noWrap/>
          </w:tcPr>
          <w:p/>
        </w:tc>
        <w:tc>
          <w:tcPr>
            <w:tcW w:w="1246" w:type="dxa"/>
            <w:vMerge w:val="continue"/>
            <w:tcBorders>
              <w:left w:val="single" w:color="000000" w:sz="4" w:space="0"/>
              <w:bottom w:val="single" w:color="000000" w:sz="4" w:space="0"/>
              <w:right w:val="single" w:color="000000" w:sz="4" w:space="0"/>
            </w:tcBorders>
            <w:noWrap/>
          </w:tcPr>
          <w:p/>
        </w:tc>
        <w:tc>
          <w:tcPr>
            <w:tcW w:w="1177" w:type="dxa"/>
            <w:vMerge w:val="continue"/>
            <w:tcBorders>
              <w:left w:val="single" w:color="000000" w:sz="4" w:space="0"/>
              <w:bottom w:val="single" w:color="000000" w:sz="4" w:space="0"/>
              <w:right w:val="single" w:color="000000" w:sz="4" w:space="0"/>
            </w:tcBorders>
            <w:noWrap/>
          </w:tcPr>
          <w:p/>
        </w:tc>
        <w:tc>
          <w:tcPr>
            <w:tcW w:w="1177" w:type="dxa"/>
            <w:tcBorders>
              <w:left w:val="single" w:color="000000" w:sz="4" w:space="0"/>
              <w:bottom w:val="single" w:color="000000" w:sz="4" w:space="0"/>
              <w:right w:val="single" w:color="000000" w:sz="4" w:space="0"/>
            </w:tcBorders>
            <w:noWrap/>
          </w:tcPr>
          <w:p/>
        </w:tc>
      </w:tr>
      <w:tr>
        <w:tblPrEx>
          <w:tblCellMar>
            <w:top w:w="0" w:type="dxa"/>
            <w:left w:w="0" w:type="dxa"/>
            <w:bottom w:w="0" w:type="dxa"/>
            <w:right w:w="0" w:type="dxa"/>
          </w:tblCellMar>
        </w:tblPrEx>
        <w:trPr>
          <w:trHeight w:val="653" w:hRule="exact"/>
          <w:jc w:val="center"/>
        </w:trPr>
        <w:tc>
          <w:tcPr>
            <w:tcW w:w="1694" w:type="dxa"/>
            <w:tcBorders>
              <w:top w:val="single" w:color="000000" w:sz="4" w:space="0"/>
              <w:left w:val="single" w:color="000000" w:sz="4" w:space="0"/>
              <w:bottom w:val="single" w:color="000000" w:sz="4" w:space="0"/>
              <w:right w:val="single" w:color="000000" w:sz="4" w:space="0"/>
            </w:tcBorders>
            <w:noWrap/>
            <w:vAlign w:val="center"/>
          </w:tcPr>
          <w:p>
            <w:pPr>
              <w:pStyle w:val="105"/>
              <w:spacing w:before="3"/>
              <w:ind w:left="102"/>
              <w:jc w:val="center"/>
              <w:rPr>
                <w:rFonts w:ascii="宋体" w:hAnsi="宋体" w:cs="宋体"/>
                <w:spacing w:val="-1"/>
                <w:szCs w:val="21"/>
              </w:rPr>
            </w:pPr>
            <w:r>
              <w:rPr>
                <w:rFonts w:hint="eastAsia" w:ascii="宋体" w:hAnsi="宋体" w:cs="宋体"/>
                <w:spacing w:val="-1"/>
                <w:szCs w:val="21"/>
              </w:rPr>
              <w:t>保温覆盖剂</w:t>
            </w:r>
          </w:p>
          <w:p>
            <w:pPr>
              <w:pStyle w:val="105"/>
              <w:spacing w:before="3"/>
              <w:ind w:left="102"/>
              <w:jc w:val="center"/>
              <w:rPr>
                <w:rFonts w:ascii="宋体" w:hAnsi="宋体" w:cs="宋体"/>
                <w:spacing w:val="-1"/>
                <w:szCs w:val="21"/>
              </w:rPr>
            </w:pPr>
            <w:r>
              <w:rPr>
                <w:rFonts w:hint="eastAsia" w:ascii="宋体" w:hAnsi="宋体" w:cs="宋体"/>
                <w:spacing w:val="-1"/>
                <w:szCs w:val="21"/>
              </w:rPr>
              <w:t>（碳化稻壳型）</w:t>
            </w:r>
          </w:p>
        </w:tc>
        <w:tc>
          <w:tcPr>
            <w:tcW w:w="80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spacing w:val="-1"/>
                <w:szCs w:val="21"/>
              </w:rPr>
            </w:pPr>
            <w:r>
              <w:rPr>
                <w:color w:val="000000"/>
                <w:kern w:val="0"/>
                <w:szCs w:val="21"/>
              </w:rPr>
              <w:t>≤3.0</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spacing w:val="-1"/>
                <w:szCs w:val="21"/>
              </w:rPr>
            </w:pPr>
            <w:r>
              <w:rPr>
                <w:color w:val="000000"/>
                <w:kern w:val="0"/>
                <w:szCs w:val="21"/>
              </w:rPr>
              <w:t>85~95</w:t>
            </w:r>
          </w:p>
        </w:tc>
        <w:tc>
          <w:tcPr>
            <w:tcW w:w="76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spacing w:val="-1"/>
                <w:szCs w:val="21"/>
              </w:rPr>
            </w:pPr>
            <w:r>
              <w:rPr>
                <w:color w:val="000000"/>
                <w:kern w:val="0"/>
                <w:szCs w:val="21"/>
              </w:rPr>
              <w:t>≤2.5</w:t>
            </w:r>
          </w:p>
        </w:tc>
        <w:tc>
          <w:tcPr>
            <w:tcW w:w="749" w:type="dxa"/>
            <w:tcBorders>
              <w:top w:val="single" w:color="000000" w:sz="4" w:space="0"/>
              <w:left w:val="single" w:color="000000" w:sz="4" w:space="0"/>
              <w:bottom w:val="single" w:color="000000" w:sz="4" w:space="0"/>
              <w:right w:val="single" w:color="000000" w:sz="4" w:space="0"/>
            </w:tcBorders>
            <w:noWrap/>
            <w:vAlign w:val="center"/>
          </w:tcPr>
          <w:p>
            <w:pPr>
              <w:pStyle w:val="105"/>
              <w:spacing w:before="44"/>
              <w:ind w:left="183"/>
              <w:jc w:val="center"/>
              <w:rPr>
                <w:spacing w:val="-1"/>
                <w:szCs w:val="21"/>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spacing w:val="-1"/>
                <w:szCs w:val="21"/>
              </w:rPr>
            </w:pPr>
            <w:r>
              <w:rPr>
                <w:color w:val="000000"/>
                <w:kern w:val="0"/>
                <w:szCs w:val="21"/>
              </w:rPr>
              <w:t>≤1.5</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spacing w:val="-1"/>
                <w:szCs w:val="21"/>
              </w:rPr>
            </w:pPr>
            <w:r>
              <w:rPr>
                <w:color w:val="000000"/>
                <w:kern w:val="0"/>
                <w:szCs w:val="21"/>
              </w:rPr>
              <w:t>≤</w:t>
            </w:r>
            <w:r>
              <w:rPr>
                <w:rFonts w:hint="eastAsia"/>
                <w:color w:val="000000"/>
                <w:kern w:val="0"/>
                <w:szCs w:val="21"/>
              </w:rPr>
              <w:t>5</w:t>
            </w:r>
          </w:p>
        </w:tc>
        <w:tc>
          <w:tcPr>
            <w:tcW w:w="701" w:type="dxa"/>
            <w:tcBorders>
              <w:top w:val="single" w:color="000000" w:sz="4" w:space="0"/>
              <w:left w:val="single" w:color="000000" w:sz="4" w:space="0"/>
              <w:bottom w:val="single" w:color="000000" w:sz="4" w:space="0"/>
              <w:right w:val="single" w:color="auto" w:sz="4" w:space="0"/>
            </w:tcBorders>
            <w:noWrap/>
            <w:vAlign w:val="center"/>
          </w:tcPr>
          <w:p>
            <w:pPr>
              <w:widowControl/>
              <w:jc w:val="center"/>
              <w:rPr>
                <w:spacing w:val="-1"/>
                <w:szCs w:val="21"/>
              </w:rPr>
            </w:pPr>
            <w:r>
              <w:rPr>
                <w:color w:val="000000"/>
                <w:kern w:val="0"/>
                <w:szCs w:val="21"/>
              </w:rPr>
              <w:t>≤1.0</w:t>
            </w:r>
          </w:p>
        </w:tc>
        <w:tc>
          <w:tcPr>
            <w:tcW w:w="1246" w:type="dxa"/>
            <w:tcBorders>
              <w:top w:val="single" w:color="auto" w:sz="4" w:space="0"/>
              <w:left w:val="single" w:color="auto" w:sz="4" w:space="0"/>
              <w:bottom w:val="single" w:color="auto" w:sz="4" w:space="0"/>
              <w:right w:val="single" w:color="auto" w:sz="4" w:space="0"/>
            </w:tcBorders>
            <w:noWrap/>
            <w:vAlign w:val="center"/>
          </w:tcPr>
          <w:p>
            <w:pPr>
              <w:widowControl/>
              <w:jc w:val="center"/>
              <w:rPr>
                <w:szCs w:val="21"/>
              </w:rPr>
            </w:pPr>
            <w:r>
              <w:rPr>
                <w:color w:val="000000"/>
                <w:kern w:val="0"/>
                <w:szCs w:val="21"/>
              </w:rPr>
              <w:t>1600~1700</w:t>
            </w:r>
          </w:p>
        </w:tc>
        <w:tc>
          <w:tcPr>
            <w:tcW w:w="1177" w:type="dxa"/>
            <w:tcBorders>
              <w:top w:val="single" w:color="auto" w:sz="4" w:space="0"/>
              <w:left w:val="single" w:color="auto" w:sz="4" w:space="0"/>
              <w:bottom w:val="single" w:color="auto" w:sz="4" w:space="0"/>
              <w:right w:val="single" w:color="auto" w:sz="4" w:space="0"/>
            </w:tcBorders>
            <w:noWrap/>
            <w:vAlign w:val="center"/>
          </w:tcPr>
          <w:p>
            <w:pPr>
              <w:widowControl/>
              <w:jc w:val="center"/>
              <w:rPr>
                <w:szCs w:val="21"/>
              </w:rPr>
            </w:pPr>
            <w:r>
              <w:rPr>
                <w:color w:val="000000"/>
                <w:kern w:val="0"/>
                <w:szCs w:val="21"/>
              </w:rPr>
              <w:t>≤0.25</w:t>
            </w:r>
          </w:p>
        </w:tc>
        <w:tc>
          <w:tcPr>
            <w:tcW w:w="1177" w:type="dxa"/>
            <w:tcBorders>
              <w:top w:val="single" w:color="auto" w:sz="4" w:space="0"/>
              <w:left w:val="single" w:color="auto" w:sz="4" w:space="0"/>
              <w:bottom w:val="single" w:color="auto" w:sz="4" w:space="0"/>
              <w:right w:val="single" w:color="auto" w:sz="4" w:space="0"/>
            </w:tcBorders>
            <w:noWrap/>
            <w:vAlign w:val="center"/>
          </w:tcPr>
          <w:p>
            <w:pPr>
              <w:widowControl/>
              <w:jc w:val="center"/>
              <w:rPr>
                <w:color w:val="000000"/>
                <w:kern w:val="0"/>
                <w:szCs w:val="21"/>
              </w:rPr>
            </w:pPr>
          </w:p>
        </w:tc>
      </w:tr>
    </w:tbl>
    <w:p>
      <w:pPr>
        <w:pStyle w:val="105"/>
        <w:spacing w:before="3"/>
        <w:rPr>
          <w:rFonts w:ascii="Calibri" w:hAnsi="Calibri" w:cs="Calibri"/>
          <w:color w:val="000000"/>
        </w:rPr>
      </w:pPr>
      <w:r>
        <w:rPr>
          <w:rFonts w:hint="eastAsia" w:ascii="Calibri" w:hAnsi="Calibri" w:eastAsia="Calibri" w:cs="Calibri"/>
          <w:color w:val="000000"/>
        </w:rPr>
        <w:t xml:space="preserve">3.2 </w:t>
      </w:r>
      <w:r>
        <w:rPr>
          <w:rFonts w:hint="eastAsia" w:ascii="宋体" w:hAnsi="宋体" w:cs="宋体"/>
          <w:spacing w:val="-1"/>
          <w:szCs w:val="21"/>
        </w:rPr>
        <w:t>保温覆盖剂(碳化稻壳型)必须使用稻谷谷壳为原料进行生产，产品为灰白色，细条谷壳形态清晰可见。</w:t>
      </w:r>
    </w:p>
    <w:p>
      <w:pPr>
        <w:pStyle w:val="15"/>
        <w:spacing w:before="72"/>
        <w:rPr>
          <w:color w:val="000000"/>
        </w:rPr>
      </w:pPr>
      <w:r>
        <w:rPr>
          <w:rFonts w:ascii="Calibri" w:hAnsi="Calibri" w:eastAsia="Calibri" w:cs="Calibri"/>
          <w:color w:val="000000"/>
        </w:rPr>
        <w:t>3.</w:t>
      </w:r>
      <w:r>
        <w:rPr>
          <w:rFonts w:hint="eastAsia" w:ascii="Calibri" w:hAnsi="Calibri" w:eastAsia="Calibri" w:cs="Calibri"/>
          <w:color w:val="000000"/>
        </w:rPr>
        <w:t>3</w:t>
      </w:r>
      <w:r>
        <w:rPr>
          <w:color w:val="000000"/>
        </w:rPr>
        <w:t>产品粒度范围及允许偏差应符合表</w:t>
      </w:r>
      <w:r>
        <w:rPr>
          <w:rFonts w:ascii="Calibri" w:hAnsi="Calibri" w:eastAsia="Calibri" w:cs="Calibri"/>
          <w:color w:val="000000"/>
        </w:rPr>
        <w:t>2</w:t>
      </w:r>
      <w:r>
        <w:rPr>
          <w:color w:val="000000"/>
        </w:rPr>
        <w:t>的规定。</w:t>
      </w:r>
    </w:p>
    <w:p>
      <w:pPr>
        <w:spacing w:before="115"/>
        <w:ind w:left="3803" w:right="3804"/>
        <w:jc w:val="center"/>
        <w:rPr>
          <w:rFonts w:eastAsia="Calibri" w:cs="Calibri"/>
          <w:szCs w:val="21"/>
        </w:rPr>
      </w:pPr>
      <w:r>
        <w:rPr>
          <w:rFonts w:ascii="黑体" w:hAnsi="黑体" w:eastAsia="黑体" w:cs="黑体"/>
          <w:szCs w:val="21"/>
        </w:rPr>
        <w:t>表</w:t>
      </w:r>
      <w:r>
        <w:rPr>
          <w:rFonts w:eastAsia="Calibri" w:cs="Calibri"/>
          <w:szCs w:val="21"/>
        </w:rPr>
        <w:t>2</w:t>
      </w:r>
    </w:p>
    <w:p>
      <w:pPr>
        <w:spacing w:before="2"/>
        <w:rPr>
          <w:rFonts w:eastAsia="Calibri" w:cs="Calibri"/>
          <w:sz w:val="2"/>
          <w:szCs w:val="2"/>
        </w:rPr>
      </w:pPr>
    </w:p>
    <w:tbl>
      <w:tblPr>
        <w:tblStyle w:val="37"/>
        <w:tblW w:w="8320" w:type="dxa"/>
        <w:tblInd w:w="739" w:type="dxa"/>
        <w:tblLayout w:type="fixed"/>
        <w:tblCellMar>
          <w:top w:w="0" w:type="dxa"/>
          <w:left w:w="0" w:type="dxa"/>
          <w:bottom w:w="0" w:type="dxa"/>
          <w:right w:w="0" w:type="dxa"/>
        </w:tblCellMar>
      </w:tblPr>
      <w:tblGrid>
        <w:gridCol w:w="1745"/>
        <w:gridCol w:w="1659"/>
        <w:gridCol w:w="1659"/>
        <w:gridCol w:w="1658"/>
        <w:gridCol w:w="1599"/>
      </w:tblGrid>
      <w:tr>
        <w:tblPrEx>
          <w:tblCellMar>
            <w:top w:w="0" w:type="dxa"/>
            <w:left w:w="0" w:type="dxa"/>
            <w:bottom w:w="0" w:type="dxa"/>
            <w:right w:w="0" w:type="dxa"/>
          </w:tblCellMar>
        </w:tblPrEx>
        <w:trPr>
          <w:trHeight w:val="407" w:hRule="exact"/>
        </w:trPr>
        <w:tc>
          <w:tcPr>
            <w:tcW w:w="1745" w:type="dxa"/>
            <w:tcBorders>
              <w:top w:val="single" w:color="000000" w:sz="4" w:space="0"/>
              <w:left w:val="single" w:color="000000" w:sz="4" w:space="0"/>
              <w:bottom w:val="single" w:color="000000" w:sz="4" w:space="0"/>
              <w:right w:val="single" w:color="000000" w:sz="4" w:space="0"/>
            </w:tcBorders>
            <w:noWrap/>
          </w:tcPr>
          <w:p>
            <w:pPr>
              <w:pStyle w:val="105"/>
              <w:spacing w:before="89"/>
              <w:ind w:left="174"/>
              <w:rPr>
                <w:rFonts w:eastAsia="Calibri" w:cs="Calibri"/>
                <w:szCs w:val="21"/>
              </w:rPr>
            </w:pPr>
            <w:r>
              <w:rPr>
                <w:rFonts w:ascii="宋体" w:hAnsi="宋体" w:cs="宋体"/>
                <w:spacing w:val="-2"/>
                <w:szCs w:val="21"/>
              </w:rPr>
              <w:t>粒度范围，</w:t>
            </w:r>
            <w:r>
              <w:rPr>
                <w:rFonts w:eastAsia="Calibri" w:cs="Calibri"/>
                <w:spacing w:val="-2"/>
                <w:szCs w:val="21"/>
              </w:rPr>
              <w:t>mm</w:t>
            </w:r>
          </w:p>
        </w:tc>
        <w:tc>
          <w:tcPr>
            <w:tcW w:w="1659" w:type="dxa"/>
            <w:tcBorders>
              <w:top w:val="single" w:color="000000" w:sz="4" w:space="0"/>
              <w:left w:val="single" w:color="000000" w:sz="4" w:space="0"/>
              <w:bottom w:val="single" w:color="000000" w:sz="4" w:space="0"/>
              <w:right w:val="single" w:color="000000" w:sz="4" w:space="0"/>
            </w:tcBorders>
            <w:noWrap/>
            <w:vAlign w:val="center"/>
          </w:tcPr>
          <w:p>
            <w:pPr>
              <w:pStyle w:val="105"/>
              <w:spacing w:before="144"/>
              <w:ind w:left="506"/>
              <w:rPr>
                <w:rFonts w:eastAsia="Calibri" w:cs="Calibri"/>
                <w:szCs w:val="21"/>
              </w:rPr>
            </w:pPr>
            <w:r>
              <w:rPr>
                <w:spacing w:val="-1"/>
              </w:rPr>
              <w:t>0.1~2.0</w:t>
            </w:r>
          </w:p>
        </w:tc>
        <w:tc>
          <w:tcPr>
            <w:tcW w:w="1659" w:type="dxa"/>
            <w:tcBorders>
              <w:top w:val="single" w:color="000000" w:sz="4" w:space="0"/>
              <w:left w:val="single" w:color="000000" w:sz="4" w:space="0"/>
              <w:bottom w:val="single" w:color="000000" w:sz="4" w:space="0"/>
              <w:right w:val="single" w:color="000000" w:sz="4" w:space="0"/>
            </w:tcBorders>
            <w:noWrap/>
            <w:vAlign w:val="center"/>
          </w:tcPr>
          <w:p>
            <w:pPr>
              <w:pStyle w:val="105"/>
              <w:spacing w:before="106"/>
              <w:ind w:right="1"/>
              <w:jc w:val="center"/>
              <w:rPr>
                <w:rFonts w:eastAsia="Calibri" w:cs="Calibri"/>
                <w:szCs w:val="21"/>
              </w:rPr>
            </w:pPr>
            <w:r>
              <w:rPr>
                <w:rFonts w:ascii="宋体" w:hAnsi="宋体" w:cs="宋体"/>
                <w:spacing w:val="-1"/>
                <w:szCs w:val="21"/>
              </w:rPr>
              <w:t>＜</w:t>
            </w:r>
            <w:r>
              <w:rPr>
                <w:rFonts w:eastAsia="Calibri" w:cs="Calibri"/>
                <w:spacing w:val="-1"/>
                <w:szCs w:val="21"/>
              </w:rPr>
              <w:t>0.1</w:t>
            </w:r>
          </w:p>
        </w:tc>
        <w:tc>
          <w:tcPr>
            <w:tcW w:w="1658" w:type="dxa"/>
            <w:tcBorders>
              <w:top w:val="single" w:color="000000" w:sz="4" w:space="0"/>
              <w:left w:val="single" w:color="000000" w:sz="4" w:space="0"/>
              <w:bottom w:val="single" w:color="000000" w:sz="4" w:space="0"/>
              <w:right w:val="single" w:color="000000" w:sz="4" w:space="0"/>
            </w:tcBorders>
            <w:noWrap/>
            <w:vAlign w:val="center"/>
          </w:tcPr>
          <w:p>
            <w:pPr>
              <w:pStyle w:val="105"/>
              <w:spacing w:before="106"/>
              <w:ind w:right="1"/>
              <w:jc w:val="center"/>
              <w:rPr>
                <w:rFonts w:eastAsia="Calibri" w:cs="Calibri"/>
                <w:szCs w:val="21"/>
              </w:rPr>
            </w:pPr>
            <w:r>
              <w:rPr>
                <w:rFonts w:ascii="宋体" w:hAnsi="宋体" w:cs="宋体"/>
                <w:spacing w:val="-1"/>
                <w:szCs w:val="21"/>
              </w:rPr>
              <w:t>＞</w:t>
            </w:r>
            <w:r>
              <w:rPr>
                <w:rFonts w:eastAsia="Calibri" w:cs="Calibri"/>
                <w:spacing w:val="-1"/>
                <w:szCs w:val="21"/>
              </w:rPr>
              <w:t>2.0</w:t>
            </w:r>
          </w:p>
        </w:tc>
        <w:tc>
          <w:tcPr>
            <w:tcW w:w="1599" w:type="dxa"/>
            <w:tcBorders>
              <w:top w:val="single" w:color="000000" w:sz="4" w:space="0"/>
              <w:left w:val="single" w:color="000000" w:sz="4" w:space="0"/>
              <w:bottom w:val="single" w:color="000000" w:sz="4" w:space="0"/>
              <w:right w:val="single" w:color="000000" w:sz="4" w:space="0"/>
            </w:tcBorders>
            <w:noWrap/>
            <w:vAlign w:val="center"/>
          </w:tcPr>
          <w:p>
            <w:pPr>
              <w:pStyle w:val="105"/>
              <w:spacing w:before="152"/>
              <w:jc w:val="center"/>
              <w:rPr>
                <w:rFonts w:eastAsia="Calibri" w:cs="Calibri"/>
                <w:szCs w:val="21"/>
              </w:rPr>
            </w:pPr>
            <w:r>
              <w:rPr>
                <w:rStyle w:val="106"/>
                <w:rFonts w:hint="eastAsia" w:ascii="宋体" w:hAnsi="宋体" w:eastAsia="宋体" w:cs="宋体"/>
                <w:lang w:val="en-US" w:eastAsia="zh-CN" w:bidi="en-US"/>
              </w:rPr>
              <w:t>≥</w:t>
            </w:r>
            <w:r>
              <w:rPr>
                <w:rFonts w:eastAsia="Calibri" w:cs="Calibri"/>
                <w:spacing w:val="-1"/>
                <w:szCs w:val="21"/>
              </w:rPr>
              <w:t>3.0</w:t>
            </w:r>
          </w:p>
        </w:tc>
      </w:tr>
      <w:tr>
        <w:tblPrEx>
          <w:tblCellMar>
            <w:top w:w="0" w:type="dxa"/>
            <w:left w:w="0" w:type="dxa"/>
            <w:bottom w:w="0" w:type="dxa"/>
            <w:right w:w="0" w:type="dxa"/>
          </w:tblCellMar>
        </w:tblPrEx>
        <w:trPr>
          <w:trHeight w:val="417" w:hRule="exact"/>
        </w:trPr>
        <w:tc>
          <w:tcPr>
            <w:tcW w:w="1745" w:type="dxa"/>
            <w:tcBorders>
              <w:top w:val="single" w:color="000000" w:sz="4" w:space="0"/>
              <w:left w:val="single" w:color="000000" w:sz="4" w:space="0"/>
              <w:bottom w:val="single" w:color="000000" w:sz="4" w:space="0"/>
              <w:right w:val="single" w:color="000000" w:sz="4" w:space="0"/>
            </w:tcBorders>
            <w:noWrap/>
          </w:tcPr>
          <w:p>
            <w:pPr>
              <w:pStyle w:val="105"/>
              <w:spacing w:before="89"/>
              <w:ind w:left="265"/>
              <w:rPr>
                <w:rFonts w:eastAsia="Calibri" w:cs="Calibri"/>
                <w:szCs w:val="21"/>
              </w:rPr>
            </w:pPr>
            <w:r>
              <w:rPr>
                <w:rFonts w:ascii="宋体" w:hAnsi="宋体" w:cs="宋体"/>
                <w:spacing w:val="-2"/>
                <w:szCs w:val="21"/>
              </w:rPr>
              <w:t>允许偏差，</w:t>
            </w:r>
            <w:r>
              <w:rPr>
                <w:rFonts w:eastAsia="Calibri" w:cs="Calibri"/>
                <w:spacing w:val="-2"/>
                <w:szCs w:val="21"/>
              </w:rPr>
              <w:t>%</w:t>
            </w:r>
          </w:p>
        </w:tc>
        <w:tc>
          <w:tcPr>
            <w:tcW w:w="1659" w:type="dxa"/>
            <w:tcBorders>
              <w:top w:val="single" w:color="000000" w:sz="4" w:space="0"/>
              <w:left w:val="single" w:color="000000" w:sz="4" w:space="0"/>
              <w:bottom w:val="single" w:color="000000" w:sz="4" w:space="0"/>
              <w:right w:val="single" w:color="000000" w:sz="4" w:space="0"/>
            </w:tcBorders>
            <w:noWrap/>
            <w:vAlign w:val="center"/>
          </w:tcPr>
          <w:p>
            <w:pPr>
              <w:pStyle w:val="105"/>
              <w:spacing w:before="144"/>
              <w:jc w:val="center"/>
              <w:rPr>
                <w:rFonts w:eastAsia="Calibri" w:cs="Calibri"/>
                <w:szCs w:val="21"/>
              </w:rPr>
            </w:pPr>
            <w:r>
              <w:rPr>
                <w:rStyle w:val="106"/>
                <w:rFonts w:hint="eastAsia" w:ascii="宋体" w:hAnsi="宋体" w:eastAsia="宋体" w:cs="宋体"/>
                <w:lang w:val="en-US" w:eastAsia="zh-CN" w:bidi="en-US"/>
              </w:rPr>
              <w:t>≥</w:t>
            </w:r>
            <w:r>
              <w:rPr>
                <w:rFonts w:eastAsia="Calibri" w:cs="Calibri"/>
                <w:spacing w:val="-1"/>
                <w:szCs w:val="21"/>
              </w:rPr>
              <w:t>90</w:t>
            </w:r>
          </w:p>
        </w:tc>
        <w:tc>
          <w:tcPr>
            <w:tcW w:w="1659" w:type="dxa"/>
            <w:tcBorders>
              <w:top w:val="single" w:color="000000" w:sz="4" w:space="0"/>
              <w:left w:val="single" w:color="000000" w:sz="4" w:space="0"/>
              <w:bottom w:val="single" w:color="000000" w:sz="4" w:space="0"/>
              <w:right w:val="single" w:color="000000" w:sz="4" w:space="0"/>
            </w:tcBorders>
            <w:noWrap/>
            <w:vAlign w:val="center"/>
          </w:tcPr>
          <w:p>
            <w:pPr>
              <w:pStyle w:val="105"/>
              <w:spacing w:before="152"/>
              <w:jc w:val="center"/>
              <w:rPr>
                <w:rFonts w:eastAsia="Calibri" w:cs="Calibri"/>
                <w:szCs w:val="21"/>
              </w:rPr>
            </w:pPr>
            <w:r>
              <w:rPr>
                <w:rFonts w:hint="eastAsia" w:ascii="宋体" w:hAnsi="宋体" w:cs="宋体"/>
                <w:szCs w:val="21"/>
              </w:rPr>
              <w:t>≤</w:t>
            </w:r>
            <w:r>
              <w:rPr>
                <w:rFonts w:eastAsia="Calibri" w:cs="Calibri"/>
                <w:szCs w:val="21"/>
              </w:rPr>
              <w:t>5</w:t>
            </w:r>
          </w:p>
        </w:tc>
        <w:tc>
          <w:tcPr>
            <w:tcW w:w="1658" w:type="dxa"/>
            <w:tcBorders>
              <w:top w:val="single" w:color="000000" w:sz="4" w:space="0"/>
              <w:left w:val="single" w:color="000000" w:sz="4" w:space="0"/>
              <w:bottom w:val="single" w:color="000000" w:sz="4" w:space="0"/>
              <w:right w:val="single" w:color="000000" w:sz="4" w:space="0"/>
            </w:tcBorders>
            <w:noWrap/>
            <w:vAlign w:val="center"/>
          </w:tcPr>
          <w:p>
            <w:pPr>
              <w:pStyle w:val="105"/>
              <w:spacing w:before="152"/>
              <w:jc w:val="center"/>
              <w:rPr>
                <w:rFonts w:eastAsia="Calibri" w:cs="Calibri"/>
                <w:szCs w:val="21"/>
              </w:rPr>
            </w:pPr>
            <w:r>
              <w:rPr>
                <w:rFonts w:hint="eastAsia" w:ascii="宋体" w:hAnsi="宋体" w:cs="宋体"/>
                <w:szCs w:val="21"/>
              </w:rPr>
              <w:t>≤</w:t>
            </w:r>
            <w:r>
              <w:rPr>
                <w:rFonts w:eastAsia="Calibri" w:cs="Calibri"/>
                <w:szCs w:val="21"/>
              </w:rPr>
              <w:t>5</w:t>
            </w:r>
          </w:p>
        </w:tc>
        <w:tc>
          <w:tcPr>
            <w:tcW w:w="1599" w:type="dxa"/>
            <w:tcBorders>
              <w:top w:val="single" w:color="000000" w:sz="4" w:space="0"/>
              <w:left w:val="single" w:color="000000" w:sz="4" w:space="0"/>
              <w:bottom w:val="single" w:color="000000" w:sz="4" w:space="0"/>
              <w:right w:val="single" w:color="000000" w:sz="4" w:space="0"/>
            </w:tcBorders>
            <w:noWrap/>
            <w:vAlign w:val="center"/>
          </w:tcPr>
          <w:p>
            <w:pPr>
              <w:pStyle w:val="105"/>
              <w:spacing w:before="152"/>
              <w:jc w:val="center"/>
              <w:rPr>
                <w:rFonts w:eastAsia="Calibri" w:cs="Calibri"/>
                <w:szCs w:val="21"/>
              </w:rPr>
            </w:pPr>
            <w:r>
              <w:t>0</w:t>
            </w:r>
          </w:p>
        </w:tc>
      </w:tr>
    </w:tbl>
    <w:p>
      <w:pPr>
        <w:pStyle w:val="15"/>
        <w:spacing w:before="71"/>
        <w:rPr>
          <w:rFonts w:ascii="Calibri" w:hAnsi="Calibri" w:eastAsia="Calibri" w:cs="Calibri"/>
          <w:color w:val="000000"/>
        </w:rPr>
      </w:pPr>
    </w:p>
    <w:p>
      <w:pPr>
        <w:pStyle w:val="15"/>
        <w:spacing w:before="71"/>
        <w:rPr>
          <w:color w:val="000000"/>
        </w:rPr>
      </w:pPr>
      <w:r>
        <w:rPr>
          <w:rFonts w:ascii="Calibri" w:hAnsi="Calibri" w:eastAsia="Calibri" w:cs="Calibri"/>
          <w:color w:val="000000"/>
        </w:rPr>
        <w:t>3.</w:t>
      </w:r>
      <w:r>
        <w:rPr>
          <w:rFonts w:hint="eastAsia" w:ascii="Calibri" w:hAnsi="Calibri" w:eastAsia="Calibri" w:cs="Calibri"/>
          <w:color w:val="000000"/>
        </w:rPr>
        <w:t>4</w:t>
      </w:r>
      <w:r>
        <w:rPr>
          <w:rFonts w:hint="eastAsia"/>
          <w:color w:val="000000"/>
        </w:rPr>
        <w:t>使用</w:t>
      </w:r>
      <w:r>
        <w:rPr>
          <w:color w:val="000000"/>
        </w:rPr>
        <w:t>性能</w:t>
      </w:r>
      <w:r>
        <w:rPr>
          <w:rFonts w:hint="eastAsia"/>
          <w:color w:val="000000"/>
        </w:rPr>
        <w:t>要求</w:t>
      </w:r>
    </w:p>
    <w:p>
      <w:pPr>
        <w:pStyle w:val="15"/>
        <w:spacing w:before="71"/>
        <w:rPr>
          <w:rFonts w:cs="宋体"/>
          <w:color w:val="000000"/>
        </w:rPr>
      </w:pPr>
      <w:r>
        <w:rPr>
          <w:rFonts w:hint="eastAsia" w:cs="宋体"/>
          <w:color w:val="000000"/>
        </w:rPr>
        <w:t>3.4.1质量稳定、保温和铺展性能好。使用中不能有明显的结壳、结块和粘棒等现象。</w:t>
      </w:r>
    </w:p>
    <w:p>
      <w:pPr>
        <w:pStyle w:val="15"/>
        <w:spacing w:before="71"/>
        <w:ind w:left="141" w:leftChars="67"/>
        <w:rPr>
          <w:rFonts w:cs="宋体"/>
          <w:color w:val="000000"/>
        </w:rPr>
      </w:pPr>
      <w:r>
        <w:rPr>
          <w:rFonts w:hint="eastAsia" w:cs="宋体"/>
          <w:color w:val="000000"/>
        </w:rPr>
        <w:t>3.4</w:t>
      </w:r>
      <w:r>
        <w:rPr>
          <w:rFonts w:hint="eastAsia"/>
          <w:color w:val="000000"/>
        </w:rPr>
        <w:t>.2</w:t>
      </w:r>
      <w:r>
        <w:rPr>
          <w:rFonts w:hint="eastAsia" w:cs="宋体"/>
          <w:color w:val="000000"/>
        </w:rPr>
        <w:t>不易于浸蚀中间包包衬、塞棒及挡渣墙。</w:t>
      </w:r>
    </w:p>
    <w:p>
      <w:pPr>
        <w:pStyle w:val="15"/>
        <w:spacing w:before="71"/>
        <w:ind w:left="141" w:leftChars="67"/>
        <w:rPr>
          <w:rFonts w:cs="宋体"/>
          <w:color w:val="000000"/>
        </w:rPr>
      </w:pPr>
      <w:r>
        <w:rPr>
          <w:rFonts w:hint="eastAsia"/>
          <w:color w:val="000000"/>
        </w:rPr>
        <w:t>3.4.3</w:t>
      </w:r>
      <w:r>
        <w:rPr>
          <w:rFonts w:hint="eastAsia" w:cs="宋体"/>
          <w:color w:val="000000"/>
        </w:rPr>
        <w:t>使用过程产生烟尘少、无异味。</w:t>
      </w:r>
    </w:p>
    <w:p>
      <w:pPr>
        <w:pStyle w:val="15"/>
        <w:spacing w:before="71"/>
        <w:rPr>
          <w:color w:val="000000"/>
        </w:rPr>
      </w:pPr>
      <w:r>
        <w:rPr>
          <w:rFonts w:hint="eastAsia"/>
          <w:color w:val="000000"/>
        </w:rPr>
        <w:t>3.4.4覆盖剂</w:t>
      </w:r>
      <w:r>
        <w:rPr>
          <w:color w:val="000000"/>
          <w:spacing w:val="-1"/>
        </w:rPr>
        <w:t>不得混入其它外来夹杂物。</w:t>
      </w:r>
    </w:p>
    <w:p>
      <w:pPr>
        <w:pStyle w:val="104"/>
        <w:spacing w:before="0"/>
        <w:ind w:left="147"/>
        <w:jc w:val="left"/>
        <w:rPr>
          <w:b w:val="0"/>
          <w:bCs w:val="0"/>
        </w:rPr>
      </w:pPr>
      <w:r>
        <w:rPr>
          <w:rFonts w:ascii="Calibri" w:hAnsi="Calibri" w:eastAsia="Calibri" w:cs="Calibri"/>
        </w:rPr>
        <w:t xml:space="preserve">4 </w:t>
      </w:r>
      <w:r>
        <w:t>试验方法</w:t>
      </w:r>
    </w:p>
    <w:p>
      <w:pPr>
        <w:pStyle w:val="15"/>
        <w:spacing w:line="440" w:lineRule="exact"/>
        <w:ind w:left="147"/>
      </w:pPr>
      <w:r>
        <w:rPr>
          <w:rFonts w:ascii="Calibri" w:hAnsi="Calibri" w:eastAsia="Calibri" w:cs="Calibri"/>
        </w:rPr>
        <w:t>4.1</w:t>
      </w:r>
      <w:r>
        <w:rPr>
          <w:spacing w:val="-1"/>
        </w:rPr>
        <w:t>取制样方法按</w:t>
      </w:r>
      <w:r>
        <w:rPr>
          <w:rFonts w:ascii="Calibri" w:hAnsi="Calibri" w:eastAsia="Calibri" w:cs="Calibri"/>
          <w:spacing w:val="-2"/>
        </w:rPr>
        <w:t>GB/T17617</w:t>
      </w:r>
      <w:r>
        <w:t>的规定进行。</w:t>
      </w:r>
    </w:p>
    <w:p>
      <w:pPr>
        <w:pStyle w:val="15"/>
        <w:spacing w:line="440" w:lineRule="exact"/>
        <w:ind w:left="147"/>
      </w:pPr>
      <w:r>
        <w:rPr>
          <w:rFonts w:ascii="Calibri" w:hAnsi="Calibri" w:eastAsia="Calibri" w:cs="Calibri"/>
          <w:spacing w:val="-1"/>
        </w:rPr>
        <w:t>4.2CaO</w:t>
      </w:r>
      <w:r>
        <w:rPr>
          <w:spacing w:val="-1"/>
        </w:rPr>
        <w:t>、</w:t>
      </w:r>
      <w:r>
        <w:rPr>
          <w:rFonts w:ascii="Calibri" w:hAnsi="Calibri" w:eastAsia="Calibri" w:cs="Calibri"/>
          <w:spacing w:val="-1"/>
        </w:rPr>
        <w:t>SiO2</w:t>
      </w:r>
      <w:r>
        <w:rPr>
          <w:spacing w:val="-1"/>
        </w:rPr>
        <w:t>、</w:t>
      </w:r>
      <w:r>
        <w:rPr>
          <w:rFonts w:ascii="Calibri" w:hAnsi="Calibri" w:eastAsia="Calibri" w:cs="Calibri"/>
          <w:spacing w:val="-1"/>
        </w:rPr>
        <w:t>Al2O3</w:t>
      </w:r>
      <w:r>
        <w:rPr>
          <w:spacing w:val="-1"/>
        </w:rPr>
        <w:t>、</w:t>
      </w:r>
      <w:r>
        <w:rPr>
          <w:rFonts w:ascii="Calibri" w:hAnsi="Calibri" w:eastAsia="Calibri" w:cs="Calibri"/>
          <w:spacing w:val="-1"/>
        </w:rPr>
        <w:t>MgO</w:t>
      </w:r>
      <w:r>
        <w:rPr>
          <w:spacing w:val="-1"/>
        </w:rPr>
        <w:t>、</w:t>
      </w:r>
      <w:r>
        <w:rPr>
          <w:rFonts w:ascii="Calibri" w:hAnsi="Calibri" w:eastAsia="Calibri" w:cs="Calibri"/>
          <w:spacing w:val="-1"/>
        </w:rPr>
        <w:t>Fe2O3</w:t>
      </w:r>
      <w:r>
        <w:rPr>
          <w:spacing w:val="-1"/>
        </w:rPr>
        <w:t>的测定按</w:t>
      </w:r>
      <w:r>
        <w:rPr>
          <w:rFonts w:ascii="Calibri" w:hAnsi="Calibri" w:eastAsia="Calibri" w:cs="Calibri"/>
          <w:spacing w:val="-1"/>
        </w:rPr>
        <w:t>GB/T5069</w:t>
      </w:r>
      <w:r>
        <w:rPr>
          <w:spacing w:val="-1"/>
        </w:rPr>
        <w:t>的规定进行。</w:t>
      </w:r>
    </w:p>
    <w:p>
      <w:pPr>
        <w:pStyle w:val="15"/>
        <w:spacing w:line="440" w:lineRule="exact"/>
        <w:ind w:left="147"/>
      </w:pPr>
      <w:r>
        <w:rPr>
          <w:rFonts w:ascii="Calibri" w:hAnsi="Calibri" w:eastAsia="Calibri" w:cs="Calibri"/>
        </w:rPr>
        <w:t>4.3 C</w:t>
      </w:r>
      <w:r>
        <w:t>的测定按</w:t>
      </w:r>
      <w:r>
        <w:rPr>
          <w:rFonts w:ascii="Calibri" w:hAnsi="Calibri" w:eastAsia="Calibri" w:cs="Calibri"/>
          <w:spacing w:val="-1"/>
        </w:rPr>
        <w:t>YB/T190</w:t>
      </w:r>
      <w:r>
        <w:t>的规定进行。</w:t>
      </w:r>
    </w:p>
    <w:p>
      <w:pPr>
        <w:pStyle w:val="15"/>
        <w:spacing w:line="440" w:lineRule="exact"/>
        <w:ind w:left="147"/>
      </w:pPr>
      <w:r>
        <w:rPr>
          <w:rFonts w:ascii="Calibri" w:hAnsi="Calibri" w:eastAsia="Calibri" w:cs="Calibri"/>
          <w:spacing w:val="-1"/>
        </w:rPr>
        <w:t>4.4</w:t>
      </w:r>
      <w:r>
        <w:t>熔化温度的测定按</w:t>
      </w:r>
      <w:r>
        <w:rPr>
          <w:rFonts w:ascii="Calibri" w:hAnsi="Calibri" w:eastAsia="Calibri" w:cs="Calibri"/>
        </w:rPr>
        <w:t>YB/T186</w:t>
      </w:r>
      <w:r>
        <w:t>的规定进行。</w:t>
      </w:r>
    </w:p>
    <w:p>
      <w:pPr>
        <w:pStyle w:val="15"/>
        <w:spacing w:line="440" w:lineRule="exact"/>
        <w:ind w:left="147"/>
      </w:pPr>
      <w:r>
        <w:rPr>
          <w:rFonts w:ascii="Calibri" w:hAnsi="Calibri" w:eastAsia="Calibri" w:cs="Calibri"/>
          <w:spacing w:val="-1"/>
        </w:rPr>
        <w:t>4.5</w:t>
      </w:r>
      <w:r>
        <w:rPr>
          <w:spacing w:val="-1"/>
        </w:rPr>
        <w:t>堆积密度的测定按</w:t>
      </w:r>
      <w:r>
        <w:rPr>
          <w:rFonts w:ascii="Calibri" w:hAnsi="Calibri" w:eastAsia="Calibri" w:cs="Calibri"/>
          <w:spacing w:val="-1"/>
        </w:rPr>
        <w:t>YB/T187</w:t>
      </w:r>
      <w:r>
        <w:t>的规定进行。</w:t>
      </w:r>
    </w:p>
    <w:p>
      <w:pPr>
        <w:pStyle w:val="15"/>
        <w:spacing w:line="440" w:lineRule="exact"/>
        <w:ind w:left="147"/>
      </w:pPr>
      <w:r>
        <w:rPr>
          <w:rFonts w:ascii="Calibri" w:hAnsi="Calibri" w:eastAsia="Calibri" w:cs="Calibri"/>
          <w:spacing w:val="-1"/>
        </w:rPr>
        <w:t>4.6</w:t>
      </w:r>
      <w:r>
        <w:t>粒度的测定按</w:t>
      </w:r>
      <w:r>
        <w:rPr>
          <w:rFonts w:ascii="Calibri" w:hAnsi="Calibri" w:eastAsia="Calibri" w:cs="Calibri"/>
          <w:spacing w:val="-1"/>
        </w:rPr>
        <w:t>YB/T188</w:t>
      </w:r>
      <w:r>
        <w:t>的规定进行。</w:t>
      </w:r>
    </w:p>
    <w:p>
      <w:pPr>
        <w:pStyle w:val="15"/>
        <w:spacing w:line="440" w:lineRule="exact"/>
        <w:ind w:left="147"/>
      </w:pPr>
      <w:r>
        <w:rPr>
          <w:rFonts w:ascii="Calibri" w:hAnsi="Calibri" w:eastAsia="Calibri" w:cs="Calibri"/>
          <w:spacing w:val="-1"/>
        </w:rPr>
        <w:t>4.7</w:t>
      </w:r>
      <w:r>
        <w:t>水分的测定按</w:t>
      </w:r>
      <w:r>
        <w:rPr>
          <w:rFonts w:ascii="Calibri" w:hAnsi="Calibri" w:eastAsia="Calibri" w:cs="Calibri"/>
          <w:spacing w:val="-1"/>
        </w:rPr>
        <w:t>GB/T3007</w:t>
      </w:r>
      <w:r>
        <w:t>的规定进行。</w:t>
      </w:r>
    </w:p>
    <w:p>
      <w:pPr>
        <w:pStyle w:val="104"/>
        <w:spacing w:before="0"/>
        <w:ind w:left="147"/>
        <w:rPr>
          <w:b w:val="0"/>
          <w:bCs w:val="0"/>
        </w:rPr>
      </w:pPr>
      <w:r>
        <w:rPr>
          <w:rFonts w:ascii="Calibri" w:hAnsi="Calibri" w:eastAsia="Calibri" w:cs="Calibri"/>
        </w:rPr>
        <w:t xml:space="preserve">5 </w:t>
      </w:r>
      <w:r>
        <w:t>检验规则</w:t>
      </w:r>
    </w:p>
    <w:p>
      <w:pPr>
        <w:pStyle w:val="15"/>
        <w:ind w:left="147"/>
      </w:pPr>
      <w:r>
        <w:rPr>
          <w:rFonts w:ascii="Calibri" w:hAnsi="Calibri" w:eastAsia="Calibri" w:cs="Calibri"/>
        </w:rPr>
        <w:t xml:space="preserve">5.1 </w:t>
      </w:r>
      <w:r>
        <w:t>产品按批交货，一次交货为一批，每批为一检验单位，每批重量不超过</w:t>
      </w:r>
      <w:r>
        <w:rPr>
          <w:rFonts w:ascii="Calibri" w:hAnsi="Calibri" w:eastAsia="Calibri" w:cs="Calibri"/>
        </w:rPr>
        <w:t>60t</w:t>
      </w:r>
      <w:r>
        <w:t>。</w:t>
      </w:r>
    </w:p>
    <w:p>
      <w:pPr>
        <w:pStyle w:val="15"/>
      </w:pPr>
      <w:r>
        <w:rPr>
          <w:rFonts w:ascii="Calibri" w:hAnsi="Calibri" w:eastAsia="Calibri" w:cs="Calibri"/>
        </w:rPr>
        <w:t>5.</w:t>
      </w:r>
      <w:r>
        <w:rPr>
          <w:rFonts w:hint="eastAsia" w:ascii="Calibri" w:hAnsi="Calibri" w:eastAsia="Calibri" w:cs="Calibri"/>
        </w:rPr>
        <w:t>2</w:t>
      </w:r>
      <w:r>
        <w:t>产品的质量检查和验收由供方技术质量监督部门负责进行。</w:t>
      </w:r>
    </w:p>
    <w:p>
      <w:pPr>
        <w:pStyle w:val="15"/>
        <w:spacing w:before="95" w:line="307" w:lineRule="auto"/>
      </w:pPr>
      <w:r>
        <w:rPr>
          <w:rFonts w:ascii="Calibri" w:hAnsi="Calibri" w:eastAsia="Calibri" w:cs="Calibri"/>
        </w:rPr>
        <w:t>5.</w:t>
      </w:r>
      <w:r>
        <w:rPr>
          <w:rFonts w:hint="eastAsia" w:ascii="Calibri" w:hAnsi="Calibri" w:eastAsia="Calibri" w:cs="Calibri"/>
        </w:rPr>
        <w:t>3</w:t>
      </w:r>
      <w:r>
        <w:t>需方可按本规范对产品质量进行复验，如有异议，应在到货</w:t>
      </w:r>
      <w:r>
        <w:rPr>
          <w:rFonts w:ascii="Calibri" w:hAnsi="Calibri" w:eastAsia="Calibri" w:cs="Calibri"/>
        </w:rPr>
        <w:t>30</w:t>
      </w:r>
      <w:r>
        <w:t>天内提出。对交货批有异议时，由供需双方按有关国家标准仲裁，无相应国家标准，按供需双方协议规定仲裁。</w:t>
      </w:r>
    </w:p>
    <w:p>
      <w:pPr>
        <w:pStyle w:val="104"/>
        <w:spacing w:before="0"/>
        <w:ind w:left="147"/>
        <w:rPr>
          <w:b w:val="0"/>
          <w:bCs w:val="0"/>
        </w:rPr>
      </w:pPr>
      <w:r>
        <w:rPr>
          <w:rFonts w:ascii="Calibri" w:hAnsi="Calibri" w:eastAsia="Calibri" w:cs="Calibri"/>
        </w:rPr>
        <w:t>6</w:t>
      </w:r>
      <w:r>
        <w:t>包装、储运、标志和质量证明书</w:t>
      </w:r>
    </w:p>
    <w:p>
      <w:pPr>
        <w:pStyle w:val="15"/>
        <w:spacing w:line="440" w:lineRule="exact"/>
        <w:rPr>
          <w:rFonts w:ascii="Calibri" w:hAnsi="Calibri" w:eastAsia="Calibri" w:cs="Calibri"/>
        </w:rPr>
      </w:pPr>
      <w:r>
        <w:rPr>
          <w:rFonts w:ascii="Calibri" w:hAnsi="Calibri" w:eastAsia="Calibri" w:cs="Calibri"/>
        </w:rPr>
        <w:t>6.1</w:t>
      </w:r>
      <w:r>
        <w:rPr>
          <w:rFonts w:hint="eastAsia" w:ascii="Calibri" w:hAnsi="Calibri" w:eastAsia="Calibri" w:cs="Calibri"/>
        </w:rPr>
        <w:t>保温覆盖剂</w:t>
      </w:r>
      <w:r>
        <w:t>采用内衬防潮包装，净重</w:t>
      </w:r>
      <w:r>
        <w:rPr>
          <w:rFonts w:hint="eastAsia" w:ascii="宋体" w:hAnsi="宋体" w:cs="宋体"/>
          <w:spacing w:val="-63"/>
        </w:rPr>
        <w:t xml:space="preserve">4 </w:t>
      </w:r>
      <w:r>
        <w:rPr>
          <w:rFonts w:hint="eastAsia" w:ascii="宋体" w:hAnsi="宋体" w:cs="宋体"/>
          <w:spacing w:val="-1"/>
        </w:rPr>
        <w:t>00</w:t>
      </w:r>
      <w:r>
        <w:rPr>
          <w:rFonts w:ascii="Calibri" w:hAnsi="Calibri" w:eastAsia="Calibri" w:cs="Calibri"/>
          <w:spacing w:val="-1"/>
        </w:rPr>
        <w:t>Kg</w:t>
      </w:r>
      <w:r>
        <w:rPr>
          <w:rFonts w:hint="eastAsia" w:ascii="Calibri" w:hAnsi="Calibri" w:eastAsia="Calibri" w:cs="Calibri"/>
          <w:spacing w:val="-1"/>
        </w:rPr>
        <w:t>，</w:t>
      </w:r>
      <w:r>
        <w:rPr>
          <w:rFonts w:hint="eastAsia"/>
          <w:spacing w:val="-1"/>
        </w:rPr>
        <w:t>大袋</w:t>
      </w:r>
      <w:r>
        <w:rPr>
          <w:spacing w:val="-1"/>
        </w:rPr>
        <w:t>内套防潮小袋，每小袋净重</w:t>
      </w:r>
      <w:r>
        <w:rPr>
          <w:rFonts w:hint="eastAsia"/>
          <w:spacing w:val="-1"/>
        </w:rPr>
        <w:t>5</w:t>
      </w:r>
      <w:r>
        <w:rPr>
          <w:rFonts w:ascii="Calibri" w:hAnsi="Calibri" w:eastAsia="Calibri" w:cs="Calibri"/>
        </w:rPr>
        <w:t>Kg</w:t>
      </w:r>
      <w:r>
        <w:t>。</w:t>
      </w:r>
    </w:p>
    <w:p>
      <w:pPr>
        <w:pStyle w:val="15"/>
        <w:spacing w:line="440" w:lineRule="exact"/>
      </w:pPr>
      <w:r>
        <w:rPr>
          <w:rFonts w:ascii="Calibri" w:hAnsi="Calibri" w:eastAsia="Calibri" w:cs="Calibri"/>
        </w:rPr>
        <w:t xml:space="preserve">6.2 </w:t>
      </w:r>
      <w:r>
        <w:t>产品入库应分批号存放</w:t>
      </w:r>
      <w:r>
        <w:rPr>
          <w:spacing w:val="-34"/>
        </w:rPr>
        <w:t>，</w:t>
      </w:r>
      <w:r>
        <w:t>如露天存放</w:t>
      </w:r>
      <w:r>
        <w:rPr>
          <w:spacing w:val="-34"/>
        </w:rPr>
        <w:t>，</w:t>
      </w:r>
      <w:r>
        <w:rPr>
          <w:spacing w:val="-3"/>
        </w:rPr>
        <w:t>应</w:t>
      </w:r>
      <w:r>
        <w:t>防潮并防止混入杂物</w:t>
      </w:r>
      <w:r>
        <w:rPr>
          <w:spacing w:val="-34"/>
        </w:rPr>
        <w:t>。</w:t>
      </w:r>
      <w:r>
        <w:t>产品储运时</w:t>
      </w:r>
      <w:r>
        <w:rPr>
          <w:spacing w:val="-34"/>
        </w:rPr>
        <w:t>，</w:t>
      </w:r>
      <w:r>
        <w:t>应有标识， 防止混批、混号。敞车或遇雨发运时，需用篷布盖好，防止渗水。</w:t>
      </w:r>
    </w:p>
    <w:p>
      <w:pPr>
        <w:pStyle w:val="22"/>
        <w:adjustRightInd/>
        <w:snapToGrid/>
        <w:spacing w:line="440" w:lineRule="exact"/>
        <w:ind w:left="0" w:leftChars="0" w:firstLine="240" w:firstLineChars="100"/>
        <w:rPr>
          <w:rFonts w:cs="宋体"/>
          <w:bCs/>
        </w:rPr>
      </w:pPr>
      <w:r>
        <w:rPr>
          <w:rFonts w:hint="eastAsia" w:ascii="Calibri" w:hAnsi="Calibri" w:eastAsia="Calibri" w:cs="Calibri"/>
        </w:rPr>
        <w:t>6.3</w:t>
      </w:r>
      <w:r>
        <w:rPr>
          <w:rFonts w:hint="eastAsia" w:cs="宋体"/>
        </w:rPr>
        <w:t>产品每一包装件表面的两面都</w:t>
      </w:r>
      <w:r>
        <w:rPr>
          <w:rFonts w:hint="eastAsia" w:cs="宋体"/>
          <w:bCs/>
        </w:rPr>
        <w:t>应印有不掉色的标记，标记内容见表3。其中包装件表面的生产厂名称、产品名称应使用印刷体标记。</w:t>
      </w:r>
    </w:p>
    <w:p>
      <w:pPr>
        <w:pStyle w:val="22"/>
        <w:adjustRightInd/>
        <w:snapToGrid/>
        <w:spacing w:line="440" w:lineRule="exact"/>
        <w:ind w:left="0" w:leftChars="0" w:firstLine="240" w:firstLineChars="100"/>
        <w:rPr>
          <w:rFonts w:cs="宋体"/>
          <w:bCs/>
        </w:rPr>
      </w:pPr>
      <w:r>
        <w:rPr>
          <w:rFonts w:hint="eastAsia" w:ascii="Calibri" w:hAnsi="Calibri" w:eastAsia="Calibri" w:cs="Calibri"/>
        </w:rPr>
        <w:t xml:space="preserve">6.4 </w:t>
      </w:r>
      <w:r>
        <w:rPr>
          <w:rFonts w:hint="eastAsia" w:cs="宋体"/>
          <w:bCs/>
        </w:rPr>
        <w:t>包装件内可附有标签，标签内容应符合表3的规定。</w:t>
      </w:r>
    </w:p>
    <w:p>
      <w:pPr>
        <w:pStyle w:val="15"/>
        <w:spacing w:before="95"/>
        <w:ind w:right="83"/>
        <w:jc w:val="center"/>
        <w:rPr>
          <w:rFonts w:ascii="Calibri" w:hAnsi="Calibri" w:eastAsia="Calibri" w:cs="Calibri"/>
          <w:highlight w:val="yellow"/>
        </w:rPr>
      </w:pPr>
      <w:r>
        <w:t>表</w:t>
      </w:r>
      <w:r>
        <w:rPr>
          <w:rFonts w:hint="eastAsia"/>
          <w:spacing w:val="-62"/>
        </w:rPr>
        <w:t>3</w:t>
      </w:r>
    </w:p>
    <w:tbl>
      <w:tblPr>
        <w:tblStyle w:val="37"/>
        <w:tblW w:w="7905" w:type="dxa"/>
        <w:tblInd w:w="947" w:type="dxa"/>
        <w:tblLayout w:type="fixed"/>
        <w:tblCellMar>
          <w:top w:w="0" w:type="dxa"/>
          <w:left w:w="0" w:type="dxa"/>
          <w:bottom w:w="0" w:type="dxa"/>
          <w:right w:w="0" w:type="dxa"/>
        </w:tblCellMar>
      </w:tblPr>
      <w:tblGrid>
        <w:gridCol w:w="1755"/>
        <w:gridCol w:w="6150"/>
      </w:tblGrid>
      <w:tr>
        <w:tblPrEx>
          <w:tblCellMar>
            <w:top w:w="0" w:type="dxa"/>
            <w:left w:w="0" w:type="dxa"/>
            <w:bottom w:w="0" w:type="dxa"/>
            <w:right w:w="0" w:type="dxa"/>
          </w:tblCellMar>
        </w:tblPrEx>
        <w:trPr>
          <w:trHeight w:val="430" w:hRule="exact"/>
        </w:trPr>
        <w:tc>
          <w:tcPr>
            <w:tcW w:w="1755" w:type="dxa"/>
            <w:tcBorders>
              <w:top w:val="single" w:color="000000" w:sz="4" w:space="0"/>
              <w:left w:val="single" w:color="000000" w:sz="4" w:space="0"/>
              <w:bottom w:val="single" w:color="000000" w:sz="4" w:space="0"/>
              <w:right w:val="single" w:color="000000" w:sz="4" w:space="0"/>
            </w:tcBorders>
            <w:noWrap/>
          </w:tcPr>
          <w:p>
            <w:pPr>
              <w:pStyle w:val="105"/>
              <w:spacing w:before="89"/>
              <w:ind w:left="239"/>
              <w:rPr>
                <w:rFonts w:ascii="宋体" w:hAnsi="宋体" w:cs="宋体"/>
                <w:szCs w:val="21"/>
              </w:rPr>
            </w:pPr>
            <w:r>
              <w:rPr>
                <w:rFonts w:ascii="宋体" w:hAnsi="宋体" w:cs="宋体"/>
                <w:spacing w:val="-1"/>
                <w:szCs w:val="21"/>
              </w:rPr>
              <w:t>表面标记内容</w:t>
            </w:r>
          </w:p>
        </w:tc>
        <w:tc>
          <w:tcPr>
            <w:tcW w:w="6150" w:type="dxa"/>
            <w:tcBorders>
              <w:top w:val="single" w:color="000000" w:sz="4" w:space="0"/>
              <w:left w:val="single" w:color="000000" w:sz="4" w:space="0"/>
              <w:bottom w:val="single" w:color="000000" w:sz="4" w:space="0"/>
              <w:right w:val="single" w:color="000000" w:sz="4" w:space="0"/>
            </w:tcBorders>
            <w:noWrap/>
          </w:tcPr>
          <w:p>
            <w:pPr>
              <w:pStyle w:val="105"/>
              <w:spacing w:before="89"/>
              <w:ind w:firstLine="1030" w:firstLineChars="500"/>
              <w:rPr>
                <w:rFonts w:ascii="宋体" w:hAnsi="宋体" w:cs="宋体"/>
                <w:szCs w:val="21"/>
              </w:rPr>
            </w:pPr>
            <w:r>
              <w:rPr>
                <w:rFonts w:ascii="宋体" w:hAnsi="宋体" w:cs="宋体"/>
                <w:spacing w:val="-2"/>
                <w:szCs w:val="21"/>
              </w:rPr>
              <w:t>生产厂名称、产品名称及类别、生产日期</w:t>
            </w:r>
          </w:p>
        </w:tc>
      </w:tr>
      <w:tr>
        <w:trPr>
          <w:trHeight w:val="432" w:hRule="exact"/>
        </w:trPr>
        <w:tc>
          <w:tcPr>
            <w:tcW w:w="1755" w:type="dxa"/>
            <w:tcBorders>
              <w:top w:val="single" w:color="000000" w:sz="4" w:space="0"/>
              <w:left w:val="single" w:color="000000" w:sz="4" w:space="0"/>
              <w:bottom w:val="single" w:color="000000" w:sz="4" w:space="0"/>
              <w:right w:val="single" w:color="000000" w:sz="4" w:space="0"/>
            </w:tcBorders>
            <w:noWrap/>
          </w:tcPr>
          <w:p>
            <w:pPr>
              <w:pStyle w:val="105"/>
              <w:spacing w:before="92"/>
              <w:ind w:left="447"/>
              <w:rPr>
                <w:rFonts w:ascii="宋体" w:hAnsi="宋体" w:cs="宋体"/>
                <w:szCs w:val="21"/>
              </w:rPr>
            </w:pPr>
            <w:r>
              <w:rPr>
                <w:rFonts w:ascii="宋体" w:hAnsi="宋体" w:cs="宋体"/>
                <w:spacing w:val="-1"/>
                <w:szCs w:val="21"/>
              </w:rPr>
              <w:t>标签内容</w:t>
            </w:r>
          </w:p>
        </w:tc>
        <w:tc>
          <w:tcPr>
            <w:tcW w:w="6150" w:type="dxa"/>
            <w:tcBorders>
              <w:top w:val="single" w:color="000000" w:sz="4" w:space="0"/>
              <w:left w:val="single" w:color="000000" w:sz="4" w:space="0"/>
              <w:bottom w:val="single" w:color="000000" w:sz="4" w:space="0"/>
              <w:right w:val="single" w:color="000000" w:sz="4" w:space="0"/>
            </w:tcBorders>
            <w:noWrap/>
          </w:tcPr>
          <w:p>
            <w:pPr>
              <w:pStyle w:val="105"/>
              <w:spacing w:before="92"/>
              <w:ind w:left="229" w:firstLine="412" w:firstLineChars="200"/>
              <w:rPr>
                <w:rFonts w:ascii="宋体" w:hAnsi="宋体" w:cs="宋体"/>
                <w:szCs w:val="21"/>
              </w:rPr>
            </w:pPr>
            <w:r>
              <w:rPr>
                <w:rFonts w:ascii="宋体" w:hAnsi="宋体" w:cs="宋体"/>
                <w:spacing w:val="-2"/>
                <w:szCs w:val="21"/>
              </w:rPr>
              <w:t>生产厂名称、产品名称及类别、交货批、生产日期</w:t>
            </w:r>
          </w:p>
        </w:tc>
      </w:tr>
    </w:tbl>
    <w:p>
      <w:pPr>
        <w:spacing w:before="5"/>
        <w:rPr>
          <w:rFonts w:eastAsia="Calibri" w:cs="Calibri"/>
          <w:sz w:val="5"/>
          <w:szCs w:val="5"/>
        </w:rPr>
      </w:pPr>
    </w:p>
    <w:p>
      <w:pPr>
        <w:pStyle w:val="15"/>
        <w:spacing w:line="360" w:lineRule="auto"/>
        <w:ind w:left="147" w:right="227"/>
        <w:jc w:val="left"/>
      </w:pPr>
      <w:r>
        <w:rPr>
          <w:rFonts w:ascii="Calibri" w:hAnsi="Calibri" w:eastAsia="Calibri" w:cs="Calibri"/>
        </w:rPr>
        <w:t>6.</w:t>
      </w:r>
      <w:r>
        <w:rPr>
          <w:rFonts w:hint="eastAsia" w:ascii="Calibri" w:hAnsi="Calibri" w:eastAsia="Calibri" w:cs="Calibri"/>
        </w:rPr>
        <w:t>5</w:t>
      </w:r>
      <w:r>
        <w:t>每批交货产品的质量证明书应随货交付给需方</w:t>
      </w:r>
      <w:r>
        <w:rPr>
          <w:spacing w:val="-41"/>
        </w:rPr>
        <w:t>，</w:t>
      </w:r>
      <w:r>
        <w:t>质量证明书上注明</w:t>
      </w:r>
      <w:r>
        <w:rPr>
          <w:rFonts w:ascii="Calibri" w:hAnsi="Calibri" w:eastAsia="Calibri" w:cs="Calibri"/>
        </w:rPr>
        <w:t>:</w:t>
      </w:r>
      <w:r>
        <w:t>生产厂名称</w:t>
      </w:r>
      <w:r>
        <w:rPr>
          <w:spacing w:val="-41"/>
        </w:rPr>
        <w:t>、</w:t>
      </w:r>
      <w:r>
        <w:t>产品名称、理化指标、交货批件数、重量、粒度、出厂或生产日期、本规范编号或合同号等。</w:t>
      </w:r>
    </w:p>
    <w:p>
      <w:pPr>
        <w:tabs>
          <w:tab w:val="left" w:pos="735"/>
        </w:tabs>
        <w:spacing w:line="440" w:lineRule="exact"/>
        <w:ind w:left="734" w:hanging="733" w:hangingChars="262"/>
        <w:rPr>
          <w:rFonts w:asciiTheme="minorEastAsia" w:hAnsiTheme="minorEastAsia" w:eastAsiaTheme="minorEastAsia"/>
          <w:sz w:val="28"/>
          <w:szCs w:val="28"/>
        </w:rPr>
      </w:pPr>
      <w:r>
        <w:rPr>
          <w:rFonts w:hint="eastAsia" w:asciiTheme="minorEastAsia" w:hAnsiTheme="minorEastAsia" w:eastAsiaTheme="minorEastAsia"/>
          <w:sz w:val="28"/>
          <w:szCs w:val="28"/>
        </w:rPr>
        <w:t>7 优质优价标准：</w:t>
      </w:r>
    </w:p>
    <w:p>
      <w:pPr>
        <w:rPr>
          <w:rFonts w:asciiTheme="minorEastAsia" w:hAnsiTheme="minorEastAsia" w:eastAsiaTheme="minorEastAsia"/>
        </w:rPr>
      </w:pPr>
    </w:p>
    <w:tbl>
      <w:tblPr>
        <w:tblStyle w:val="37"/>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1130"/>
        <w:gridCol w:w="1301"/>
        <w:gridCol w:w="1533"/>
        <w:gridCol w:w="2703"/>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60" w:type="dxa"/>
            <w:vMerge w:val="restart"/>
            <w:textDirection w:val="tbRlV"/>
            <w:vAlign w:val="center"/>
          </w:tcPr>
          <w:p>
            <w:pPr>
              <w:spacing w:line="240" w:lineRule="exact"/>
              <w:ind w:left="113" w:right="113"/>
              <w:jc w:val="center"/>
              <w:rPr>
                <w:rFonts w:ascii="宋体" w:hAnsi="宋体" w:cs="宋体"/>
                <w:szCs w:val="21"/>
              </w:rPr>
            </w:pPr>
            <w:r>
              <w:rPr>
                <w:rFonts w:hint="eastAsia" w:ascii="宋体" w:hAnsi="宋体" w:cs="宋体"/>
                <w:szCs w:val="21"/>
              </w:rPr>
              <w:t>保温覆盖剂（碳化稻壳）</w:t>
            </w:r>
          </w:p>
        </w:tc>
        <w:tc>
          <w:tcPr>
            <w:tcW w:w="1130" w:type="dxa"/>
            <w:vAlign w:val="center"/>
          </w:tcPr>
          <w:p>
            <w:pPr>
              <w:spacing w:line="240" w:lineRule="exact"/>
              <w:jc w:val="center"/>
              <w:rPr>
                <w:rFonts w:ascii="宋体" w:hAnsi="宋体" w:cs="宋体"/>
                <w:szCs w:val="21"/>
              </w:rPr>
            </w:pPr>
            <w:r>
              <w:rPr>
                <w:rFonts w:hint="eastAsia" w:ascii="宋体" w:hAnsi="宋体" w:cs="宋体"/>
                <w:szCs w:val="21"/>
              </w:rPr>
              <w:t>CaO，%</w:t>
            </w:r>
          </w:p>
        </w:tc>
        <w:tc>
          <w:tcPr>
            <w:tcW w:w="1301" w:type="dxa"/>
            <w:vAlign w:val="center"/>
          </w:tcPr>
          <w:p>
            <w:pPr>
              <w:spacing w:line="240" w:lineRule="exact"/>
              <w:jc w:val="center"/>
              <w:rPr>
                <w:rFonts w:ascii="宋体" w:hAnsi="宋体" w:cs="宋体"/>
                <w:szCs w:val="21"/>
              </w:rPr>
            </w:pPr>
            <w:r>
              <w:rPr>
                <w:rFonts w:hint="eastAsia" w:ascii="宋体" w:hAnsi="宋体" w:cs="宋体"/>
                <w:szCs w:val="21"/>
              </w:rPr>
              <w:t>≤3.0</w:t>
            </w:r>
          </w:p>
        </w:tc>
        <w:tc>
          <w:tcPr>
            <w:tcW w:w="1533" w:type="dxa"/>
            <w:vAlign w:val="center"/>
          </w:tcPr>
          <w:p>
            <w:pPr>
              <w:spacing w:line="240" w:lineRule="exact"/>
              <w:jc w:val="center"/>
              <w:rPr>
                <w:rFonts w:ascii="宋体" w:hAnsi="宋体" w:cs="宋体"/>
                <w:szCs w:val="21"/>
              </w:rPr>
            </w:pPr>
            <w:r>
              <w:rPr>
                <w:rFonts w:hint="eastAsia" w:ascii="宋体" w:hAnsi="宋体" w:cs="宋体"/>
                <w:szCs w:val="21"/>
              </w:rPr>
              <w:t>(3.0，4.0]</w:t>
            </w:r>
          </w:p>
        </w:tc>
        <w:tc>
          <w:tcPr>
            <w:tcW w:w="2703" w:type="dxa"/>
            <w:vAlign w:val="center"/>
          </w:tcPr>
          <w:p>
            <w:pPr>
              <w:spacing w:line="240" w:lineRule="exact"/>
              <w:jc w:val="center"/>
              <w:rPr>
                <w:rFonts w:ascii="宋体" w:hAnsi="宋体" w:cs="宋体"/>
                <w:szCs w:val="21"/>
              </w:rPr>
            </w:pPr>
            <w:r>
              <w:rPr>
                <w:rFonts w:hint="eastAsia" w:ascii="宋体" w:hAnsi="宋体" w:cs="宋体"/>
                <w:szCs w:val="21"/>
              </w:rPr>
              <w:t>扣30元/t/1%</w:t>
            </w:r>
          </w:p>
        </w:tc>
        <w:tc>
          <w:tcPr>
            <w:tcW w:w="1995" w:type="dxa"/>
            <w:vAlign w:val="center"/>
          </w:tcPr>
          <w:p>
            <w:pPr>
              <w:spacing w:line="240" w:lineRule="exact"/>
              <w:jc w:val="center"/>
              <w:rPr>
                <w:rFonts w:ascii="宋体" w:hAnsi="宋体" w:cs="宋体"/>
                <w:szCs w:val="21"/>
              </w:rPr>
            </w:pPr>
            <w:r>
              <w:rPr>
                <w:rFonts w:hint="eastAsia" w:ascii="宋体" w:hAnsi="宋体" w:cs="宋体"/>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60" w:type="dxa"/>
            <w:vMerge w:val="continue"/>
            <w:vAlign w:val="center"/>
          </w:tcPr>
          <w:p>
            <w:pPr>
              <w:spacing w:line="240" w:lineRule="exact"/>
              <w:jc w:val="center"/>
              <w:rPr>
                <w:rFonts w:ascii="宋体" w:hAnsi="宋体" w:cs="宋体"/>
                <w:szCs w:val="21"/>
              </w:rPr>
            </w:pPr>
          </w:p>
        </w:tc>
        <w:tc>
          <w:tcPr>
            <w:tcW w:w="1130" w:type="dxa"/>
            <w:vAlign w:val="center"/>
          </w:tcPr>
          <w:p>
            <w:pPr>
              <w:spacing w:line="240" w:lineRule="exact"/>
              <w:jc w:val="center"/>
              <w:rPr>
                <w:rFonts w:ascii="宋体" w:hAnsi="宋体" w:cs="宋体"/>
                <w:szCs w:val="21"/>
              </w:rPr>
            </w:pPr>
            <w:r>
              <w:rPr>
                <w:rFonts w:hint="eastAsia" w:ascii="宋体" w:hAnsi="宋体" w:cs="宋体"/>
                <w:szCs w:val="21"/>
              </w:rPr>
              <w:t>Al</w:t>
            </w:r>
            <w:r>
              <w:rPr>
                <w:rFonts w:hint="eastAsia" w:ascii="宋体" w:hAnsi="宋体" w:cs="宋体"/>
                <w:szCs w:val="21"/>
                <w:vertAlign w:val="subscript"/>
              </w:rPr>
              <w:t>2</w:t>
            </w:r>
            <w:r>
              <w:rPr>
                <w:rFonts w:hint="eastAsia" w:ascii="宋体" w:hAnsi="宋体" w:cs="宋体"/>
                <w:szCs w:val="21"/>
              </w:rPr>
              <w:t>O</w:t>
            </w:r>
            <w:r>
              <w:rPr>
                <w:rFonts w:hint="eastAsia" w:ascii="宋体" w:hAnsi="宋体" w:cs="宋体"/>
                <w:szCs w:val="21"/>
                <w:vertAlign w:val="subscript"/>
              </w:rPr>
              <w:t>3</w:t>
            </w:r>
            <w:r>
              <w:rPr>
                <w:rFonts w:hint="eastAsia" w:ascii="宋体" w:hAnsi="宋体" w:cs="宋体"/>
                <w:szCs w:val="21"/>
              </w:rPr>
              <w:t>，%</w:t>
            </w:r>
          </w:p>
        </w:tc>
        <w:tc>
          <w:tcPr>
            <w:tcW w:w="1301" w:type="dxa"/>
            <w:vAlign w:val="center"/>
          </w:tcPr>
          <w:p>
            <w:pPr>
              <w:spacing w:line="240" w:lineRule="exact"/>
              <w:jc w:val="center"/>
              <w:rPr>
                <w:rFonts w:ascii="宋体" w:hAnsi="宋体" w:cs="宋体"/>
                <w:szCs w:val="21"/>
              </w:rPr>
            </w:pPr>
            <w:r>
              <w:rPr>
                <w:rFonts w:hint="eastAsia" w:ascii="宋体" w:hAnsi="宋体" w:cs="宋体"/>
                <w:szCs w:val="21"/>
              </w:rPr>
              <w:t>≤2.5</w:t>
            </w:r>
          </w:p>
        </w:tc>
        <w:tc>
          <w:tcPr>
            <w:tcW w:w="1533" w:type="dxa"/>
            <w:vAlign w:val="center"/>
          </w:tcPr>
          <w:p>
            <w:pPr>
              <w:spacing w:line="240" w:lineRule="exact"/>
              <w:jc w:val="center"/>
              <w:rPr>
                <w:rFonts w:ascii="宋体" w:hAnsi="宋体" w:cs="宋体"/>
                <w:szCs w:val="21"/>
              </w:rPr>
            </w:pPr>
            <w:r>
              <w:rPr>
                <w:rFonts w:hint="eastAsia" w:ascii="宋体" w:hAnsi="宋体" w:cs="宋体"/>
                <w:szCs w:val="21"/>
              </w:rPr>
              <w:t>(2.5，3.5]</w:t>
            </w:r>
          </w:p>
        </w:tc>
        <w:tc>
          <w:tcPr>
            <w:tcW w:w="2703" w:type="dxa"/>
            <w:vAlign w:val="center"/>
          </w:tcPr>
          <w:p>
            <w:pPr>
              <w:spacing w:line="240" w:lineRule="exact"/>
              <w:jc w:val="center"/>
              <w:rPr>
                <w:rFonts w:ascii="宋体" w:hAnsi="宋体" w:cs="宋体"/>
                <w:szCs w:val="21"/>
              </w:rPr>
            </w:pPr>
            <w:r>
              <w:rPr>
                <w:rFonts w:hint="eastAsia" w:ascii="宋体" w:hAnsi="宋体" w:cs="宋体"/>
                <w:szCs w:val="21"/>
              </w:rPr>
              <w:t>扣50元/t/1%</w:t>
            </w:r>
          </w:p>
        </w:tc>
        <w:tc>
          <w:tcPr>
            <w:tcW w:w="1995" w:type="dxa"/>
            <w:vAlign w:val="center"/>
          </w:tcPr>
          <w:p>
            <w:pPr>
              <w:spacing w:line="240" w:lineRule="exact"/>
              <w:jc w:val="center"/>
              <w:rPr>
                <w:rFonts w:ascii="宋体" w:hAnsi="宋体" w:cs="宋体"/>
                <w:szCs w:val="21"/>
              </w:rPr>
            </w:pPr>
            <w:r>
              <w:rPr>
                <w:rFonts w:hint="eastAsia" w:ascii="宋体" w:hAnsi="宋体" w:cs="宋体"/>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60" w:type="dxa"/>
            <w:vMerge w:val="continue"/>
            <w:vAlign w:val="center"/>
          </w:tcPr>
          <w:p>
            <w:pPr>
              <w:spacing w:line="240" w:lineRule="exact"/>
              <w:jc w:val="center"/>
              <w:rPr>
                <w:rFonts w:ascii="宋体" w:hAnsi="宋体" w:cs="宋体"/>
                <w:szCs w:val="21"/>
              </w:rPr>
            </w:pPr>
          </w:p>
        </w:tc>
        <w:tc>
          <w:tcPr>
            <w:tcW w:w="1130" w:type="dxa"/>
            <w:vAlign w:val="center"/>
          </w:tcPr>
          <w:p>
            <w:pPr>
              <w:spacing w:line="240" w:lineRule="exact"/>
              <w:jc w:val="center"/>
              <w:rPr>
                <w:rFonts w:ascii="宋体" w:hAnsi="宋体" w:cs="宋体"/>
                <w:szCs w:val="21"/>
              </w:rPr>
            </w:pPr>
            <w:r>
              <w:rPr>
                <w:rFonts w:hint="eastAsia" w:ascii="宋体" w:hAnsi="宋体" w:cs="宋体"/>
                <w:szCs w:val="21"/>
              </w:rPr>
              <w:t>SiO</w:t>
            </w:r>
            <w:r>
              <w:rPr>
                <w:rFonts w:hint="eastAsia" w:ascii="宋体" w:hAnsi="宋体" w:cs="宋体"/>
                <w:szCs w:val="21"/>
                <w:vertAlign w:val="subscript"/>
              </w:rPr>
              <w:t>2</w:t>
            </w:r>
            <w:r>
              <w:rPr>
                <w:rFonts w:hint="eastAsia" w:ascii="宋体" w:hAnsi="宋体" w:cs="宋体"/>
                <w:szCs w:val="21"/>
              </w:rPr>
              <w:t>，%</w:t>
            </w:r>
          </w:p>
        </w:tc>
        <w:tc>
          <w:tcPr>
            <w:tcW w:w="1301" w:type="dxa"/>
            <w:vAlign w:val="center"/>
          </w:tcPr>
          <w:p>
            <w:pPr>
              <w:spacing w:line="240" w:lineRule="exact"/>
              <w:jc w:val="center"/>
              <w:rPr>
                <w:rFonts w:ascii="宋体" w:hAnsi="宋体" w:cs="宋体"/>
                <w:szCs w:val="21"/>
              </w:rPr>
            </w:pPr>
            <w:r>
              <w:rPr>
                <w:rFonts w:hint="eastAsia" w:ascii="宋体" w:hAnsi="宋体" w:cs="宋体"/>
                <w:szCs w:val="21"/>
              </w:rPr>
              <w:t>85～95</w:t>
            </w:r>
          </w:p>
        </w:tc>
        <w:tc>
          <w:tcPr>
            <w:tcW w:w="1533" w:type="dxa"/>
            <w:vAlign w:val="center"/>
          </w:tcPr>
          <w:p>
            <w:pPr>
              <w:spacing w:line="240" w:lineRule="exact"/>
              <w:jc w:val="center"/>
              <w:rPr>
                <w:rFonts w:ascii="宋体" w:hAnsi="宋体" w:cs="宋体"/>
                <w:szCs w:val="21"/>
              </w:rPr>
            </w:pPr>
            <w:r>
              <w:rPr>
                <w:rFonts w:hint="eastAsia" w:ascii="宋体" w:hAnsi="宋体" w:cs="宋体"/>
                <w:szCs w:val="21"/>
              </w:rPr>
              <w:t>[80，85）</w:t>
            </w:r>
          </w:p>
          <w:p>
            <w:pPr>
              <w:spacing w:line="240" w:lineRule="exact"/>
              <w:jc w:val="center"/>
              <w:rPr>
                <w:rFonts w:ascii="宋体" w:hAnsi="宋体" w:cs="宋体"/>
                <w:szCs w:val="21"/>
              </w:rPr>
            </w:pPr>
            <w:r>
              <w:rPr>
                <w:rFonts w:hint="eastAsia" w:ascii="宋体" w:hAnsi="宋体" w:cs="宋体"/>
                <w:szCs w:val="21"/>
              </w:rPr>
              <w:t>＞95</w:t>
            </w:r>
          </w:p>
        </w:tc>
        <w:tc>
          <w:tcPr>
            <w:tcW w:w="2703" w:type="dxa"/>
            <w:vAlign w:val="center"/>
          </w:tcPr>
          <w:p>
            <w:pPr>
              <w:spacing w:line="240" w:lineRule="exact"/>
              <w:jc w:val="center"/>
              <w:rPr>
                <w:rFonts w:ascii="宋体" w:hAnsi="宋体" w:cs="宋体"/>
                <w:szCs w:val="21"/>
              </w:rPr>
            </w:pPr>
            <w:r>
              <w:rPr>
                <w:rFonts w:hint="eastAsia" w:ascii="宋体" w:hAnsi="宋体" w:cs="宋体"/>
                <w:szCs w:val="21"/>
              </w:rPr>
              <w:t>扣50元/t/1%</w:t>
            </w:r>
          </w:p>
        </w:tc>
        <w:tc>
          <w:tcPr>
            <w:tcW w:w="1995" w:type="dxa"/>
            <w:vAlign w:val="center"/>
          </w:tcPr>
          <w:p>
            <w:pPr>
              <w:spacing w:line="240" w:lineRule="exact"/>
              <w:jc w:val="center"/>
              <w:rPr>
                <w:rFonts w:ascii="宋体" w:hAnsi="宋体" w:cs="宋体"/>
                <w:szCs w:val="21"/>
              </w:rPr>
            </w:pPr>
            <w:r>
              <w:rPr>
                <w:rFonts w:hint="eastAsia" w:ascii="宋体" w:hAnsi="宋体" w:cs="宋体"/>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60" w:type="dxa"/>
            <w:vMerge w:val="continue"/>
            <w:vAlign w:val="center"/>
          </w:tcPr>
          <w:p>
            <w:pPr>
              <w:spacing w:line="240" w:lineRule="exact"/>
              <w:jc w:val="center"/>
              <w:rPr>
                <w:rFonts w:ascii="宋体" w:hAnsi="宋体" w:cs="宋体"/>
                <w:szCs w:val="21"/>
              </w:rPr>
            </w:pPr>
          </w:p>
        </w:tc>
        <w:tc>
          <w:tcPr>
            <w:tcW w:w="1130" w:type="dxa"/>
            <w:vAlign w:val="center"/>
          </w:tcPr>
          <w:p>
            <w:pPr>
              <w:spacing w:line="240" w:lineRule="exact"/>
              <w:jc w:val="center"/>
              <w:rPr>
                <w:rFonts w:ascii="宋体" w:hAnsi="宋体" w:cs="宋体"/>
                <w:szCs w:val="21"/>
              </w:rPr>
            </w:pPr>
            <w:r>
              <w:rPr>
                <w:rFonts w:hint="eastAsia" w:ascii="宋体" w:hAnsi="宋体" w:cs="宋体"/>
                <w:szCs w:val="21"/>
              </w:rPr>
              <w:t>Fe</w:t>
            </w:r>
            <w:r>
              <w:rPr>
                <w:rFonts w:hint="eastAsia" w:ascii="宋体" w:hAnsi="宋体" w:cs="宋体"/>
                <w:szCs w:val="21"/>
                <w:vertAlign w:val="subscript"/>
              </w:rPr>
              <w:t>2</w:t>
            </w:r>
            <w:r>
              <w:rPr>
                <w:rFonts w:hint="eastAsia" w:ascii="宋体" w:hAnsi="宋体" w:cs="宋体"/>
                <w:szCs w:val="21"/>
              </w:rPr>
              <w:t>O</w:t>
            </w:r>
            <w:r>
              <w:rPr>
                <w:rFonts w:hint="eastAsia" w:ascii="宋体" w:hAnsi="宋体" w:cs="宋体"/>
                <w:szCs w:val="21"/>
                <w:vertAlign w:val="subscript"/>
              </w:rPr>
              <w:t>3</w:t>
            </w:r>
            <w:r>
              <w:rPr>
                <w:rFonts w:hint="eastAsia" w:ascii="宋体" w:hAnsi="宋体" w:cs="宋体"/>
                <w:szCs w:val="21"/>
              </w:rPr>
              <w:t>，%</w:t>
            </w:r>
          </w:p>
        </w:tc>
        <w:tc>
          <w:tcPr>
            <w:tcW w:w="1301" w:type="dxa"/>
            <w:vAlign w:val="center"/>
          </w:tcPr>
          <w:p>
            <w:pPr>
              <w:spacing w:line="240" w:lineRule="exact"/>
              <w:jc w:val="center"/>
              <w:rPr>
                <w:rFonts w:ascii="宋体" w:hAnsi="宋体" w:cs="宋体"/>
                <w:szCs w:val="21"/>
              </w:rPr>
            </w:pPr>
            <w:r>
              <w:rPr>
                <w:rFonts w:hint="eastAsia" w:ascii="宋体" w:hAnsi="宋体" w:cs="宋体"/>
                <w:szCs w:val="21"/>
              </w:rPr>
              <w:t>≤1.5</w:t>
            </w:r>
          </w:p>
        </w:tc>
        <w:tc>
          <w:tcPr>
            <w:tcW w:w="1533" w:type="dxa"/>
            <w:vAlign w:val="center"/>
          </w:tcPr>
          <w:p>
            <w:pPr>
              <w:spacing w:line="240" w:lineRule="exact"/>
              <w:jc w:val="center"/>
              <w:rPr>
                <w:rFonts w:ascii="宋体" w:hAnsi="宋体" w:cs="宋体"/>
                <w:szCs w:val="21"/>
              </w:rPr>
            </w:pPr>
            <w:r>
              <w:rPr>
                <w:rFonts w:hint="eastAsia" w:ascii="宋体" w:hAnsi="宋体" w:cs="宋体"/>
                <w:szCs w:val="21"/>
              </w:rPr>
              <w:t>(1.5，2.5）</w:t>
            </w:r>
          </w:p>
        </w:tc>
        <w:tc>
          <w:tcPr>
            <w:tcW w:w="2703" w:type="dxa"/>
            <w:vAlign w:val="center"/>
          </w:tcPr>
          <w:p>
            <w:pPr>
              <w:spacing w:line="240" w:lineRule="exact"/>
              <w:jc w:val="center"/>
              <w:rPr>
                <w:rFonts w:ascii="宋体" w:hAnsi="宋体" w:cs="宋体"/>
                <w:szCs w:val="21"/>
              </w:rPr>
            </w:pPr>
            <w:r>
              <w:rPr>
                <w:rFonts w:hint="eastAsia" w:ascii="宋体" w:hAnsi="宋体" w:cs="宋体"/>
                <w:szCs w:val="21"/>
              </w:rPr>
              <w:t>扣100元/t/1%</w:t>
            </w:r>
          </w:p>
        </w:tc>
        <w:tc>
          <w:tcPr>
            <w:tcW w:w="1995" w:type="dxa"/>
            <w:vAlign w:val="center"/>
          </w:tcPr>
          <w:p>
            <w:pPr>
              <w:spacing w:line="240" w:lineRule="exact"/>
              <w:jc w:val="center"/>
              <w:rPr>
                <w:rFonts w:ascii="宋体" w:hAnsi="宋体" w:cs="宋体"/>
                <w:szCs w:val="21"/>
              </w:rPr>
            </w:pPr>
            <w:r>
              <w:rPr>
                <w:rFonts w:hint="eastAsia" w:ascii="宋体" w:hAnsi="宋体" w:cs="宋体"/>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60" w:type="dxa"/>
            <w:vMerge w:val="continue"/>
            <w:vAlign w:val="center"/>
          </w:tcPr>
          <w:p>
            <w:pPr>
              <w:spacing w:line="240" w:lineRule="exact"/>
              <w:jc w:val="center"/>
              <w:rPr>
                <w:rFonts w:ascii="宋体" w:hAnsi="宋体" w:cs="宋体"/>
                <w:szCs w:val="21"/>
              </w:rPr>
            </w:pPr>
          </w:p>
        </w:tc>
        <w:tc>
          <w:tcPr>
            <w:tcW w:w="1130" w:type="dxa"/>
            <w:vAlign w:val="center"/>
          </w:tcPr>
          <w:p>
            <w:pPr>
              <w:spacing w:line="240" w:lineRule="exact"/>
              <w:jc w:val="center"/>
              <w:rPr>
                <w:rFonts w:ascii="宋体" w:hAnsi="宋体" w:cs="宋体"/>
                <w:szCs w:val="21"/>
              </w:rPr>
            </w:pPr>
            <w:r>
              <w:rPr>
                <w:rFonts w:hint="eastAsia" w:ascii="宋体" w:hAnsi="宋体" w:cs="宋体"/>
                <w:szCs w:val="21"/>
              </w:rPr>
              <w:t>C，%</w:t>
            </w:r>
          </w:p>
        </w:tc>
        <w:tc>
          <w:tcPr>
            <w:tcW w:w="1301" w:type="dxa"/>
            <w:vAlign w:val="center"/>
          </w:tcPr>
          <w:p>
            <w:pPr>
              <w:spacing w:line="240" w:lineRule="exact"/>
              <w:jc w:val="center"/>
              <w:rPr>
                <w:rFonts w:ascii="宋体" w:hAnsi="宋体" w:cs="宋体"/>
                <w:szCs w:val="21"/>
              </w:rPr>
            </w:pPr>
            <w:r>
              <w:rPr>
                <w:rFonts w:hint="eastAsia" w:ascii="宋体" w:hAnsi="宋体" w:cs="宋体"/>
                <w:szCs w:val="21"/>
              </w:rPr>
              <w:t>≤5.0</w:t>
            </w:r>
          </w:p>
        </w:tc>
        <w:tc>
          <w:tcPr>
            <w:tcW w:w="1533" w:type="dxa"/>
            <w:vAlign w:val="center"/>
          </w:tcPr>
          <w:p>
            <w:pPr>
              <w:spacing w:line="240" w:lineRule="exact"/>
              <w:jc w:val="center"/>
              <w:rPr>
                <w:rFonts w:ascii="宋体" w:hAnsi="宋体" w:cs="宋体"/>
                <w:szCs w:val="21"/>
              </w:rPr>
            </w:pPr>
            <w:r>
              <w:rPr>
                <w:rFonts w:hint="eastAsia" w:ascii="宋体" w:hAnsi="宋体" w:cs="宋体"/>
                <w:szCs w:val="21"/>
              </w:rPr>
              <w:t>(5.0，7.0]</w:t>
            </w:r>
          </w:p>
        </w:tc>
        <w:tc>
          <w:tcPr>
            <w:tcW w:w="2703" w:type="dxa"/>
            <w:vAlign w:val="center"/>
          </w:tcPr>
          <w:p>
            <w:pPr>
              <w:spacing w:line="240" w:lineRule="exact"/>
              <w:jc w:val="center"/>
              <w:rPr>
                <w:rFonts w:ascii="宋体" w:hAnsi="宋体" w:cs="宋体"/>
                <w:szCs w:val="21"/>
              </w:rPr>
            </w:pPr>
            <w:r>
              <w:rPr>
                <w:rFonts w:hint="eastAsia" w:ascii="宋体" w:hAnsi="宋体" w:cs="宋体"/>
                <w:szCs w:val="21"/>
              </w:rPr>
              <w:t>扣100元/t/1%</w:t>
            </w:r>
          </w:p>
        </w:tc>
        <w:tc>
          <w:tcPr>
            <w:tcW w:w="1995" w:type="dxa"/>
            <w:vAlign w:val="center"/>
          </w:tcPr>
          <w:p>
            <w:pPr>
              <w:spacing w:line="240" w:lineRule="exact"/>
              <w:jc w:val="center"/>
              <w:rPr>
                <w:rFonts w:ascii="宋体" w:hAnsi="宋体" w:cs="宋体"/>
                <w:szCs w:val="21"/>
              </w:rPr>
            </w:pPr>
            <w:r>
              <w:rPr>
                <w:rFonts w:hint="eastAsia" w:ascii="宋体" w:hAnsi="宋体" w:cs="宋体"/>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60" w:type="dxa"/>
            <w:vMerge w:val="continue"/>
            <w:vAlign w:val="center"/>
          </w:tcPr>
          <w:p>
            <w:pPr>
              <w:spacing w:line="240" w:lineRule="exact"/>
              <w:jc w:val="center"/>
              <w:rPr>
                <w:rFonts w:ascii="宋体" w:hAnsi="宋体" w:cs="宋体"/>
                <w:szCs w:val="21"/>
              </w:rPr>
            </w:pPr>
          </w:p>
        </w:tc>
        <w:tc>
          <w:tcPr>
            <w:tcW w:w="1130" w:type="dxa"/>
            <w:vAlign w:val="center"/>
          </w:tcPr>
          <w:p>
            <w:pPr>
              <w:spacing w:line="240" w:lineRule="exact"/>
              <w:jc w:val="center"/>
              <w:rPr>
                <w:rFonts w:ascii="宋体" w:hAnsi="宋体" w:cs="宋体"/>
                <w:szCs w:val="21"/>
              </w:rPr>
            </w:pPr>
            <w:r>
              <w:rPr>
                <w:rFonts w:hint="eastAsia" w:ascii="宋体" w:hAnsi="宋体" w:cs="宋体"/>
                <w:szCs w:val="21"/>
              </w:rPr>
              <w:t>H</w:t>
            </w:r>
            <w:r>
              <w:rPr>
                <w:rFonts w:hint="eastAsia" w:ascii="宋体" w:hAnsi="宋体" w:cs="宋体"/>
                <w:szCs w:val="21"/>
                <w:vertAlign w:val="subscript"/>
              </w:rPr>
              <w:t>2</w:t>
            </w:r>
            <w:r>
              <w:rPr>
                <w:rFonts w:hint="eastAsia" w:ascii="宋体" w:hAnsi="宋体" w:cs="宋体"/>
                <w:szCs w:val="21"/>
              </w:rPr>
              <w:t>O，%</w:t>
            </w:r>
          </w:p>
        </w:tc>
        <w:tc>
          <w:tcPr>
            <w:tcW w:w="1301" w:type="dxa"/>
            <w:vAlign w:val="center"/>
          </w:tcPr>
          <w:p>
            <w:pPr>
              <w:spacing w:line="240" w:lineRule="exact"/>
              <w:jc w:val="center"/>
              <w:rPr>
                <w:rFonts w:ascii="宋体" w:hAnsi="宋体" w:cs="宋体"/>
                <w:szCs w:val="21"/>
              </w:rPr>
            </w:pPr>
            <w:r>
              <w:rPr>
                <w:rFonts w:hint="eastAsia" w:ascii="宋体" w:hAnsi="宋体" w:cs="宋体"/>
                <w:szCs w:val="21"/>
              </w:rPr>
              <w:t>≤1.0</w:t>
            </w:r>
          </w:p>
        </w:tc>
        <w:tc>
          <w:tcPr>
            <w:tcW w:w="1533" w:type="dxa"/>
            <w:vAlign w:val="center"/>
          </w:tcPr>
          <w:p>
            <w:pPr>
              <w:spacing w:line="240" w:lineRule="exact"/>
              <w:jc w:val="center"/>
              <w:rPr>
                <w:rFonts w:ascii="宋体" w:hAnsi="宋体" w:cs="宋体"/>
                <w:szCs w:val="21"/>
              </w:rPr>
            </w:pPr>
            <w:r>
              <w:rPr>
                <w:rFonts w:hint="eastAsia" w:ascii="宋体" w:hAnsi="宋体" w:cs="宋体"/>
                <w:szCs w:val="21"/>
              </w:rPr>
              <w:t>(1.0，1.5]</w:t>
            </w:r>
          </w:p>
        </w:tc>
        <w:tc>
          <w:tcPr>
            <w:tcW w:w="2703" w:type="dxa"/>
            <w:vAlign w:val="center"/>
          </w:tcPr>
          <w:p>
            <w:pPr>
              <w:spacing w:line="240" w:lineRule="exact"/>
              <w:jc w:val="center"/>
              <w:rPr>
                <w:rFonts w:ascii="宋体" w:hAnsi="宋体" w:cs="宋体"/>
                <w:szCs w:val="21"/>
              </w:rPr>
            </w:pPr>
            <w:r>
              <w:rPr>
                <w:rFonts w:hint="eastAsia" w:ascii="宋体" w:hAnsi="宋体" w:cs="宋体"/>
                <w:szCs w:val="21"/>
              </w:rPr>
              <w:t>扣30元/t/0.1%</w:t>
            </w:r>
          </w:p>
        </w:tc>
        <w:tc>
          <w:tcPr>
            <w:tcW w:w="1995" w:type="dxa"/>
            <w:vAlign w:val="center"/>
          </w:tcPr>
          <w:p>
            <w:pPr>
              <w:spacing w:line="240" w:lineRule="exact"/>
              <w:jc w:val="center"/>
              <w:rPr>
                <w:rFonts w:ascii="宋体" w:hAnsi="宋体" w:cs="宋体"/>
                <w:szCs w:val="21"/>
              </w:rPr>
            </w:pPr>
            <w:r>
              <w:rPr>
                <w:rFonts w:hint="eastAsia" w:ascii="宋体" w:hAnsi="宋体" w:cs="宋体"/>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60" w:type="dxa"/>
            <w:vMerge w:val="continue"/>
            <w:vAlign w:val="center"/>
          </w:tcPr>
          <w:p>
            <w:pPr>
              <w:spacing w:line="240" w:lineRule="exact"/>
              <w:jc w:val="center"/>
              <w:rPr>
                <w:rFonts w:ascii="宋体" w:hAnsi="宋体" w:cs="宋体"/>
                <w:szCs w:val="21"/>
              </w:rPr>
            </w:pPr>
          </w:p>
        </w:tc>
        <w:tc>
          <w:tcPr>
            <w:tcW w:w="8662" w:type="dxa"/>
            <w:gridSpan w:val="5"/>
            <w:vAlign w:val="center"/>
          </w:tcPr>
          <w:p>
            <w:pPr>
              <w:spacing w:line="240" w:lineRule="exact"/>
              <w:jc w:val="center"/>
              <w:rPr>
                <w:rFonts w:ascii="宋体" w:hAnsi="宋体" w:cs="宋体"/>
                <w:szCs w:val="21"/>
              </w:rPr>
            </w:pPr>
            <w:r>
              <w:rPr>
                <w:rFonts w:hint="eastAsia" w:ascii="宋体" w:hAnsi="宋体" w:cs="宋体"/>
                <w:szCs w:val="21"/>
              </w:rPr>
              <w:t>因化学成分和水分让步接收首次发生按采购半价接收，重复发生没收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60" w:type="dxa"/>
            <w:vMerge w:val="continue"/>
            <w:vAlign w:val="center"/>
          </w:tcPr>
          <w:p>
            <w:pPr>
              <w:spacing w:line="240" w:lineRule="exact"/>
              <w:jc w:val="center"/>
              <w:rPr>
                <w:rFonts w:ascii="宋体" w:hAnsi="宋体" w:cs="宋体"/>
                <w:szCs w:val="21"/>
              </w:rPr>
            </w:pPr>
          </w:p>
        </w:tc>
        <w:tc>
          <w:tcPr>
            <w:tcW w:w="1130" w:type="dxa"/>
            <w:vAlign w:val="center"/>
          </w:tcPr>
          <w:p>
            <w:pPr>
              <w:spacing w:line="240" w:lineRule="exact"/>
              <w:jc w:val="center"/>
              <w:rPr>
                <w:rFonts w:ascii="宋体" w:hAnsi="宋体" w:cs="宋体"/>
                <w:szCs w:val="21"/>
              </w:rPr>
            </w:pPr>
            <w:r>
              <w:rPr>
                <w:rFonts w:hint="eastAsia" w:ascii="宋体" w:hAnsi="宋体" w:cs="宋体"/>
              </w:rPr>
              <w:t>外观</w:t>
            </w:r>
          </w:p>
        </w:tc>
        <w:tc>
          <w:tcPr>
            <w:tcW w:w="7532" w:type="dxa"/>
            <w:gridSpan w:val="4"/>
            <w:vAlign w:val="center"/>
          </w:tcPr>
          <w:p>
            <w:pPr>
              <w:spacing w:line="240" w:lineRule="exact"/>
              <w:jc w:val="center"/>
              <w:rPr>
                <w:rFonts w:ascii="宋体" w:hAnsi="宋体" w:cs="宋体"/>
                <w:szCs w:val="21"/>
              </w:rPr>
            </w:pPr>
            <w:r>
              <w:rPr>
                <w:rFonts w:hint="eastAsia" w:ascii="宋体" w:hAnsi="宋体" w:cs="宋体"/>
                <w:szCs w:val="21"/>
              </w:rPr>
              <w:t>若让步接收首次发生按采购半价接收，重复发生没收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60" w:type="dxa"/>
            <w:vMerge w:val="continue"/>
            <w:vAlign w:val="center"/>
          </w:tcPr>
          <w:p>
            <w:pPr>
              <w:spacing w:line="240" w:lineRule="exact"/>
              <w:jc w:val="center"/>
              <w:rPr>
                <w:rFonts w:ascii="宋体" w:hAnsi="宋体" w:cs="宋体"/>
                <w:szCs w:val="21"/>
              </w:rPr>
            </w:pPr>
          </w:p>
        </w:tc>
        <w:tc>
          <w:tcPr>
            <w:tcW w:w="1130" w:type="dxa"/>
            <w:vAlign w:val="center"/>
          </w:tcPr>
          <w:p>
            <w:pPr>
              <w:spacing w:line="240" w:lineRule="exact"/>
              <w:jc w:val="center"/>
              <w:rPr>
                <w:rFonts w:ascii="宋体" w:hAnsi="宋体" w:cs="宋体"/>
                <w:szCs w:val="21"/>
              </w:rPr>
            </w:pPr>
            <w:r>
              <w:rPr>
                <w:rFonts w:hint="eastAsia"/>
              </w:rPr>
              <w:t>包装</w:t>
            </w:r>
          </w:p>
        </w:tc>
        <w:tc>
          <w:tcPr>
            <w:tcW w:w="7532" w:type="dxa"/>
            <w:gridSpan w:val="4"/>
            <w:vAlign w:val="center"/>
          </w:tcPr>
          <w:p>
            <w:pPr>
              <w:spacing w:line="240" w:lineRule="exact"/>
              <w:jc w:val="center"/>
              <w:rPr>
                <w:rFonts w:ascii="宋体" w:hAnsi="宋体" w:cs="宋体"/>
                <w:szCs w:val="21"/>
              </w:rPr>
            </w:pPr>
            <w:r>
              <w:rPr>
                <w:rFonts w:hint="eastAsia" w:ascii="宋体" w:hAnsi="宋体" w:cs="宋体"/>
                <w:szCs w:val="21"/>
              </w:rPr>
              <w:t>若让步接收首次发生扣100元/t，重复发生双倍扣款</w:t>
            </w:r>
          </w:p>
        </w:tc>
      </w:tr>
    </w:tbl>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br w:type="page"/>
      </w:r>
    </w:p>
    <w:p>
      <w:pPr>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第五章 合同条款及格式</w:t>
      </w:r>
      <w:bookmarkEnd w:id="15"/>
    </w:p>
    <w:p>
      <w:pPr>
        <w:pStyle w:val="2"/>
        <w:spacing w:before="0" w:after="0"/>
        <w:ind w:left="810"/>
        <w:jc w:val="center"/>
        <w:rPr>
          <w:rFonts w:asciiTheme="minorEastAsia" w:hAnsiTheme="minorEastAsia" w:eastAsiaTheme="minorEastAsia"/>
          <w:b w:val="0"/>
          <w:sz w:val="28"/>
          <w:szCs w:val="28"/>
        </w:rPr>
      </w:pPr>
    </w:p>
    <w:p>
      <w:pPr>
        <w:pStyle w:val="15"/>
        <w:tabs>
          <w:tab w:val="left" w:pos="840"/>
        </w:tabs>
        <w:spacing w:line="440" w:lineRule="exact"/>
        <w:ind w:left="432" w:hanging="432"/>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1     定  义</w:t>
      </w:r>
    </w:p>
    <w:p>
      <w:pPr>
        <w:spacing w:line="440" w:lineRule="exact"/>
        <w:ind w:left="840" w:leftChars="400"/>
        <w:rPr>
          <w:rFonts w:asciiTheme="minorEastAsia" w:hAnsiTheme="minorEastAsia" w:eastAsiaTheme="minorEastAsia"/>
          <w:sz w:val="28"/>
          <w:szCs w:val="28"/>
        </w:rPr>
      </w:pPr>
      <w:r>
        <w:rPr>
          <w:rFonts w:hint="eastAsia" w:asciiTheme="minorEastAsia" w:hAnsiTheme="minorEastAsia" w:eastAsiaTheme="minorEastAsia"/>
          <w:sz w:val="28"/>
          <w:szCs w:val="28"/>
        </w:rPr>
        <w:t>除非本合同上下文中另有规定，下列词语各有如下定义：</w:t>
      </w:r>
    </w:p>
    <w:p>
      <w:pPr>
        <w:numPr>
          <w:ilvl w:val="1"/>
          <w:numId w:val="4"/>
        </w:numPr>
        <w:tabs>
          <w:tab w:val="left" w:pos="840"/>
          <w:tab w:val="clear" w:pos="480"/>
        </w:tabs>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“买方”是指：衡阳华菱钢管（连轧管）有限公司</w:t>
      </w:r>
    </w:p>
    <w:p>
      <w:pPr>
        <w:numPr>
          <w:ilvl w:val="1"/>
          <w:numId w:val="4"/>
        </w:numPr>
        <w:tabs>
          <w:tab w:val="left" w:pos="840"/>
          <w:tab w:val="clear" w:pos="480"/>
        </w:tabs>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“卖方”是指：供应商</w:t>
      </w:r>
    </w:p>
    <w:p>
      <w:pPr>
        <w:numPr>
          <w:ilvl w:val="1"/>
          <w:numId w:val="4"/>
        </w:numPr>
        <w:tabs>
          <w:tab w:val="left" w:pos="567"/>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“合同”是指由买方和卖方（以下简称“双方”）签署的本合同和合同附件 (以下简称“附件”)</w:t>
      </w:r>
    </w:p>
    <w:p>
      <w:pPr>
        <w:numPr>
          <w:ilvl w:val="1"/>
          <w:numId w:val="4"/>
        </w:numPr>
        <w:tabs>
          <w:tab w:val="left" w:pos="840"/>
          <w:tab w:val="clear" w:pos="480"/>
        </w:tabs>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“合同货币”是指在本合同项下的支付中所用的货币，即人民币。   </w:t>
      </w:r>
    </w:p>
    <w:p>
      <w:pPr>
        <w:numPr>
          <w:ilvl w:val="1"/>
          <w:numId w:val="4"/>
        </w:numPr>
        <w:tabs>
          <w:tab w:val="left" w:pos="840"/>
          <w:tab w:val="clear" w:pos="480"/>
        </w:tabs>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“合同设备”是指本合同项下的产品及服务。   </w:t>
      </w:r>
    </w:p>
    <w:p>
      <w:pPr>
        <w:numPr>
          <w:ilvl w:val="1"/>
          <w:numId w:val="4"/>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“合同价格”是指在卖方已经充分和适当地履行了其合同义务后，买方根据合同规定支付给卖方的价款。该价款不受价格波动的影响。   </w:t>
      </w:r>
    </w:p>
    <w:p>
      <w:pPr>
        <w:numPr>
          <w:ilvl w:val="1"/>
          <w:numId w:val="4"/>
        </w:numPr>
        <w:tabs>
          <w:tab w:val="left" w:pos="840"/>
          <w:tab w:val="clear" w:pos="480"/>
        </w:tabs>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“天”是指日历天数。</w:t>
      </w:r>
    </w:p>
    <w:p>
      <w:pPr>
        <w:numPr>
          <w:ilvl w:val="1"/>
          <w:numId w:val="4"/>
        </w:numPr>
        <w:tabs>
          <w:tab w:val="left" w:pos="840"/>
          <w:tab w:val="clear" w:pos="480"/>
        </w:tabs>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“月”是指日历月数。</w:t>
      </w:r>
    </w:p>
    <w:p>
      <w:pPr>
        <w:pStyle w:val="15"/>
        <w:tabs>
          <w:tab w:val="left" w:pos="840"/>
        </w:tabs>
        <w:spacing w:line="440" w:lineRule="exact"/>
        <w:ind w:left="420" w:hanging="42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2     价  格</w:t>
      </w:r>
    </w:p>
    <w:p>
      <w:pPr>
        <w:numPr>
          <w:ilvl w:val="1"/>
          <w:numId w:val="5"/>
        </w:numPr>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ab/>
      </w:r>
      <w:r>
        <w:rPr>
          <w:rFonts w:hint="eastAsia" w:asciiTheme="minorEastAsia" w:hAnsiTheme="minorEastAsia" w:eastAsiaTheme="minorEastAsia"/>
          <w:sz w:val="28"/>
          <w:szCs w:val="28"/>
        </w:rPr>
        <w:t>本合同为固定单价，合同价为  ______人民币   （大写__________）</w:t>
      </w:r>
    </w:p>
    <w:p>
      <w:pPr>
        <w:numPr>
          <w:ilvl w:val="1"/>
          <w:numId w:val="5"/>
        </w:numPr>
        <w:tabs>
          <w:tab w:val="left" w:pos="840"/>
          <w:tab w:val="clear" w:pos="480"/>
        </w:tabs>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该合同价格是含税固定价格。</w:t>
      </w:r>
    </w:p>
    <w:p>
      <w:pPr>
        <w:pStyle w:val="15"/>
        <w:tabs>
          <w:tab w:val="left" w:pos="840"/>
        </w:tabs>
        <w:spacing w:line="440" w:lineRule="exact"/>
        <w:ind w:left="420" w:hanging="42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3     支  付</w:t>
      </w:r>
    </w:p>
    <w:p>
      <w:pPr>
        <w:numPr>
          <w:ilvl w:val="1"/>
          <w:numId w:val="6"/>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货到验收合格，供方开具13%的增值税发票交需方财务入账后，按买方周期付款方式以承兑汇票方式付款。</w:t>
      </w:r>
    </w:p>
    <w:p>
      <w:pPr>
        <w:numPr>
          <w:ilvl w:val="1"/>
          <w:numId w:val="6"/>
        </w:numPr>
        <w:tabs>
          <w:tab w:val="left" w:pos="840"/>
          <w:tab w:val="clear" w:pos="480"/>
        </w:tabs>
        <w:spacing w:line="440" w:lineRule="exact"/>
        <w:ind w:left="420" w:hanging="420"/>
        <w:rPr>
          <w:rFonts w:asciiTheme="minorEastAsia" w:hAnsiTheme="minorEastAsia" w:eastAsiaTheme="minorEastAsia"/>
          <w:b/>
          <w:sz w:val="28"/>
          <w:szCs w:val="28"/>
        </w:rPr>
      </w:pPr>
      <w:r>
        <w:rPr>
          <w:rFonts w:hint="eastAsia" w:asciiTheme="minorEastAsia" w:hAnsiTheme="minorEastAsia" w:eastAsiaTheme="minorEastAsia"/>
          <w:sz w:val="28"/>
          <w:szCs w:val="28"/>
        </w:rPr>
        <w:t>支付方式:一般为承兑汇票。</w:t>
      </w:r>
    </w:p>
    <w:p>
      <w:pPr>
        <w:spacing w:line="440" w:lineRule="exact"/>
        <w:rPr>
          <w:rFonts w:asciiTheme="minorEastAsia" w:hAnsiTheme="minorEastAsia" w:eastAsiaTheme="minorEastAsia"/>
          <w:b/>
          <w:sz w:val="28"/>
          <w:szCs w:val="28"/>
        </w:rPr>
      </w:pPr>
      <w:r>
        <w:rPr>
          <w:rFonts w:hint="eastAsia" w:asciiTheme="minorEastAsia" w:hAnsiTheme="minorEastAsia" w:eastAsiaTheme="minorEastAsia"/>
          <w:b/>
          <w:bCs/>
          <w:sz w:val="28"/>
          <w:szCs w:val="28"/>
        </w:rPr>
        <w:t>4     保  证</w:t>
      </w:r>
    </w:p>
    <w:p>
      <w:pPr>
        <w:numPr>
          <w:ilvl w:val="1"/>
          <w:numId w:val="7"/>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卖方保证合同设备（备件）是全新的、技术上先进的、质量上优越的、没有设计、材料及工艺上的缺陷、适合于合同规定的用途和目的并且符合规定。</w:t>
      </w:r>
    </w:p>
    <w:p>
      <w:pPr>
        <w:numPr>
          <w:ilvl w:val="1"/>
          <w:numId w:val="7"/>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卖方保证所交付的资料应是完整的、清楚的和正确的，并且能够满足合同材料使用、检测、验收要求。</w:t>
      </w:r>
    </w:p>
    <w:p>
      <w:pPr>
        <w:pStyle w:val="15"/>
        <w:tabs>
          <w:tab w:val="left" w:pos="840"/>
        </w:tabs>
        <w:spacing w:line="440" w:lineRule="exact"/>
        <w:ind w:left="420" w:hanging="420"/>
        <w:rPr>
          <w:rFonts w:asciiTheme="minorEastAsia" w:hAnsiTheme="minorEastAsia" w:eastAsiaTheme="minorEastAsia"/>
          <w:b/>
          <w:sz w:val="28"/>
          <w:szCs w:val="28"/>
        </w:rPr>
      </w:pPr>
      <w:r>
        <w:rPr>
          <w:rFonts w:hint="eastAsia" w:asciiTheme="minorEastAsia" w:hAnsiTheme="minorEastAsia" w:eastAsiaTheme="minorEastAsia"/>
          <w:b/>
          <w:bCs/>
          <w:sz w:val="28"/>
          <w:szCs w:val="28"/>
        </w:rPr>
        <w:t>5     迟交违约</w:t>
      </w:r>
    </w:p>
    <w:p>
      <w:pPr>
        <w:numPr>
          <w:ilvl w:val="1"/>
          <w:numId w:val="8"/>
        </w:numPr>
        <w:tabs>
          <w:tab w:val="left" w:pos="840"/>
          <w:tab w:val="clear" w:pos="480"/>
        </w:tabs>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除非因不可抗力，如果卖方未能及时交货（付），卖方应按以下比例和方式支付迟交违约金：</w:t>
      </w:r>
    </w:p>
    <w:p>
      <w:pPr>
        <w:numPr>
          <w:ilvl w:val="0"/>
          <w:numId w:val="9"/>
        </w:numPr>
        <w:tabs>
          <w:tab w:val="left" w:pos="851"/>
          <w:tab w:val="clear" w:pos="1974"/>
        </w:tabs>
        <w:ind w:hanging="1974"/>
        <w:rPr>
          <w:rFonts w:asciiTheme="minorEastAsia" w:hAnsiTheme="minorEastAsia" w:eastAsiaTheme="minorEastAsia"/>
          <w:sz w:val="28"/>
          <w:szCs w:val="28"/>
        </w:rPr>
      </w:pPr>
      <w:r>
        <w:rPr>
          <w:rFonts w:hint="eastAsia" w:asciiTheme="minorEastAsia" w:hAnsiTheme="minorEastAsia" w:eastAsiaTheme="minorEastAsia"/>
          <w:sz w:val="28"/>
          <w:szCs w:val="28"/>
        </w:rPr>
        <w:t>迟交的第一周，每天支付的违约金为合同金额的1％；</w:t>
      </w:r>
    </w:p>
    <w:p>
      <w:pPr>
        <w:numPr>
          <w:ilvl w:val="0"/>
          <w:numId w:val="9"/>
        </w:numPr>
        <w:tabs>
          <w:tab w:val="left" w:pos="851"/>
          <w:tab w:val="clear" w:pos="1974"/>
        </w:tabs>
        <w:ind w:hanging="1974"/>
        <w:rPr>
          <w:rFonts w:asciiTheme="minorEastAsia" w:hAnsiTheme="minorEastAsia" w:eastAsiaTheme="minorEastAsia"/>
          <w:sz w:val="28"/>
          <w:szCs w:val="28"/>
        </w:rPr>
      </w:pPr>
      <w:r>
        <w:rPr>
          <w:rFonts w:hint="eastAsia" w:asciiTheme="minorEastAsia" w:hAnsiTheme="minorEastAsia" w:eastAsiaTheme="minorEastAsia"/>
          <w:sz w:val="28"/>
          <w:szCs w:val="28"/>
        </w:rPr>
        <w:t>从迟交的第二周到第三周，每天支付的违约金为合同设备金额的1.2％；</w:t>
      </w:r>
    </w:p>
    <w:p>
      <w:pPr>
        <w:numPr>
          <w:ilvl w:val="0"/>
          <w:numId w:val="9"/>
        </w:numPr>
        <w:tabs>
          <w:tab w:val="left" w:pos="851"/>
          <w:tab w:val="clear" w:pos="1974"/>
        </w:tabs>
        <w:ind w:hanging="1974"/>
        <w:rPr>
          <w:rFonts w:asciiTheme="minorEastAsia" w:hAnsiTheme="minorEastAsia" w:eastAsiaTheme="minorEastAsia"/>
          <w:sz w:val="28"/>
          <w:szCs w:val="28"/>
        </w:rPr>
      </w:pPr>
      <w:r>
        <w:rPr>
          <w:rFonts w:hint="eastAsia" w:asciiTheme="minorEastAsia" w:hAnsiTheme="minorEastAsia" w:eastAsiaTheme="minorEastAsia"/>
          <w:sz w:val="28"/>
          <w:szCs w:val="28"/>
        </w:rPr>
        <w:t>迟交三周以上的，每天支付的违约金为合同设备金额的1.5％。</w:t>
      </w:r>
    </w:p>
    <w:p>
      <w:pPr>
        <w:numPr>
          <w:ilvl w:val="0"/>
          <w:numId w:val="9"/>
        </w:numPr>
        <w:tabs>
          <w:tab w:val="left" w:pos="851"/>
          <w:tab w:val="clear" w:pos="1974"/>
        </w:tabs>
        <w:ind w:hanging="1974"/>
        <w:rPr>
          <w:rFonts w:asciiTheme="minorEastAsia" w:hAnsiTheme="minorEastAsia" w:eastAsiaTheme="minorEastAsia"/>
          <w:sz w:val="28"/>
          <w:szCs w:val="28"/>
        </w:rPr>
      </w:pPr>
      <w:r>
        <w:rPr>
          <w:rFonts w:hint="eastAsia" w:asciiTheme="minorEastAsia" w:hAnsiTheme="minorEastAsia" w:eastAsiaTheme="minorEastAsia"/>
          <w:sz w:val="28"/>
          <w:szCs w:val="28"/>
        </w:rPr>
        <w:t>违约金总额不超过合同金额的20％。</w:t>
      </w:r>
    </w:p>
    <w:p>
      <w:pPr>
        <w:numPr>
          <w:ilvl w:val="0"/>
          <w:numId w:val="9"/>
        </w:numPr>
        <w:tabs>
          <w:tab w:val="left" w:pos="851"/>
          <w:tab w:val="clear" w:pos="1974"/>
        </w:tabs>
        <w:ind w:hanging="1974"/>
        <w:rPr>
          <w:rFonts w:asciiTheme="minorEastAsia" w:hAnsiTheme="minorEastAsia" w:eastAsiaTheme="minorEastAsia"/>
          <w:sz w:val="28"/>
          <w:szCs w:val="28"/>
        </w:rPr>
      </w:pPr>
      <w:r>
        <w:rPr>
          <w:rFonts w:hint="eastAsia" w:asciiTheme="minorEastAsia" w:hAnsiTheme="minorEastAsia" w:eastAsiaTheme="minorEastAsia"/>
          <w:sz w:val="28"/>
          <w:szCs w:val="28"/>
        </w:rPr>
        <w:t>迟交违约金的支付并不能免除卖方继续交付相关合同材料的义务。</w:t>
      </w:r>
    </w:p>
    <w:p>
      <w:pPr>
        <w:pStyle w:val="15"/>
        <w:tabs>
          <w:tab w:val="left" w:pos="840"/>
        </w:tabs>
        <w:spacing w:line="440" w:lineRule="exact"/>
        <w:ind w:left="420" w:hanging="420"/>
        <w:rPr>
          <w:rFonts w:asciiTheme="minorEastAsia" w:hAnsiTheme="minorEastAsia" w:eastAsiaTheme="minorEastAsia"/>
          <w:b/>
          <w:sz w:val="28"/>
          <w:szCs w:val="28"/>
        </w:rPr>
      </w:pPr>
      <w:r>
        <w:rPr>
          <w:rFonts w:hint="eastAsia" w:asciiTheme="minorEastAsia" w:hAnsiTheme="minorEastAsia" w:eastAsiaTheme="minorEastAsia"/>
          <w:b/>
          <w:bCs/>
          <w:sz w:val="28"/>
          <w:szCs w:val="28"/>
        </w:rPr>
        <w:t>6     索  赔</w:t>
      </w:r>
    </w:p>
    <w:p>
      <w:pPr>
        <w:numPr>
          <w:ilvl w:val="1"/>
          <w:numId w:val="10"/>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如果合同设备（备件）在检验、性能考核和保证期内由于卖方的原因未能达到合同规定的技术指标，买方有权向卖方提出索赔，并且卖方应经买方同意以下列方式进行理赔：</w:t>
      </w:r>
    </w:p>
    <w:p>
      <w:pPr>
        <w:numPr>
          <w:ilvl w:val="2"/>
          <w:numId w:val="11"/>
        </w:numPr>
        <w:tabs>
          <w:tab w:val="left" w:pos="840"/>
          <w:tab w:val="clear" w:pos="72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同意拒收货物和退还合同价款，并且承担相关的损失和费用包括利息、银行费用、运费、保费、检验费、仓储费、装卸费以及其它保管和维护被拒收货物必需的费用。</w:t>
      </w:r>
    </w:p>
    <w:p>
      <w:pPr>
        <w:numPr>
          <w:ilvl w:val="2"/>
          <w:numId w:val="11"/>
        </w:numPr>
        <w:tabs>
          <w:tab w:val="left" w:pos="840"/>
          <w:tab w:val="clear" w:pos="72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按质量低劣的程度、买方受损害的程度及损失的多少对材料进行降价，如果无法使用卖方必须无条件更换新材料；</w:t>
      </w:r>
    </w:p>
    <w:p>
      <w:pPr>
        <w:numPr>
          <w:ilvl w:val="1"/>
          <w:numId w:val="10"/>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如果卖方在收到买方索赔要求后，未在买方要求的期限内未能做出回复，该索赔要求将被视为已被卖方接受。</w:t>
      </w:r>
    </w:p>
    <w:p>
      <w:pPr>
        <w:numPr>
          <w:ilvl w:val="1"/>
          <w:numId w:val="10"/>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如果卖方在收到买方索赔通知未按买方要求的期限内未能按照上述一种或多种方法以买方同意的方式解决买方的索赔，买方有权从议付款项中扣除索赔金额。</w:t>
      </w:r>
    </w:p>
    <w:p>
      <w:pPr>
        <w:pStyle w:val="15"/>
        <w:tabs>
          <w:tab w:val="left" w:pos="840"/>
        </w:tabs>
        <w:spacing w:line="440" w:lineRule="exact"/>
        <w:ind w:left="420" w:hanging="420"/>
        <w:rPr>
          <w:rFonts w:asciiTheme="minorEastAsia" w:hAnsiTheme="minorEastAsia" w:eastAsiaTheme="minorEastAsia"/>
          <w:b/>
          <w:sz w:val="28"/>
          <w:szCs w:val="28"/>
        </w:rPr>
      </w:pPr>
      <w:r>
        <w:rPr>
          <w:rFonts w:hint="eastAsia" w:asciiTheme="minorEastAsia" w:hAnsiTheme="minorEastAsia" w:eastAsiaTheme="minorEastAsia"/>
          <w:b/>
          <w:bCs/>
          <w:sz w:val="28"/>
          <w:szCs w:val="28"/>
        </w:rPr>
        <w:t>7     不可抗力</w:t>
      </w:r>
    </w:p>
    <w:p>
      <w:pPr>
        <w:numPr>
          <w:ilvl w:val="1"/>
          <w:numId w:val="12"/>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如果任何一方当事人受战争、严重的火灾、水灾、台风、地震、洪水以及其他不能控制、不能避免且不能克服的事件的影响而无法执行合同，受影响的一方当事人应以电传或传真方式通知另一方当事人并应在不可抗力事件发生后14天内以航空挂号信将有关当局出具的证明文件提交给另一方当事人。</w:t>
      </w:r>
    </w:p>
    <w:p>
      <w:pPr>
        <w:numPr>
          <w:ilvl w:val="1"/>
          <w:numId w:val="12"/>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受不可抗力事件影响的一方当事人对于不可抗力事件导致的合同义务的迟延履行或履行不能不承担任何责任。但该方当事人应尽快以电传或传真的方式将不可抗力事件结束或消除的情况通知另一方当事人。</w:t>
      </w:r>
    </w:p>
    <w:p>
      <w:pPr>
        <w:numPr>
          <w:ilvl w:val="1"/>
          <w:numId w:val="12"/>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双方当事人应在不可抗力事件结束或其影响消除后立即继续履行其合同义务，合同期限也应相应延长。</w:t>
      </w:r>
      <w:r>
        <w:rPr>
          <w:rFonts w:hint="eastAsia" w:cs="宋体" w:asciiTheme="minorEastAsia" w:hAnsiTheme="minorEastAsia" w:eastAsiaTheme="minorEastAsia"/>
          <w:kern w:val="0"/>
          <w:sz w:val="28"/>
          <w:szCs w:val="28"/>
        </w:rPr>
        <w:t>如果不可抗力事件的影响持续超过</w:t>
      </w:r>
      <w:r>
        <w:rPr>
          <w:rFonts w:cs="宋体" w:asciiTheme="minorEastAsia" w:hAnsiTheme="minorEastAsia" w:eastAsiaTheme="minorEastAsia"/>
          <w:kern w:val="0"/>
          <w:sz w:val="28"/>
          <w:szCs w:val="28"/>
        </w:rPr>
        <w:t>60</w:t>
      </w:r>
      <w:r>
        <w:rPr>
          <w:rFonts w:hint="eastAsia" w:cs="宋体" w:asciiTheme="minorEastAsia" w:hAnsiTheme="minorEastAsia" w:eastAsiaTheme="minorEastAsia"/>
          <w:kern w:val="0"/>
          <w:sz w:val="28"/>
          <w:szCs w:val="28"/>
        </w:rPr>
        <w:t>天，任何一方当事人均有权终止合同并互不承担责任。</w:t>
      </w:r>
    </w:p>
    <w:p>
      <w:pPr>
        <w:pStyle w:val="15"/>
        <w:tabs>
          <w:tab w:val="left" w:pos="840"/>
        </w:tabs>
        <w:spacing w:line="440" w:lineRule="exact"/>
        <w:ind w:left="420" w:hanging="420"/>
        <w:rPr>
          <w:rFonts w:asciiTheme="minorEastAsia" w:hAnsiTheme="minorEastAsia" w:eastAsiaTheme="minorEastAsia"/>
          <w:b/>
          <w:sz w:val="28"/>
          <w:szCs w:val="28"/>
        </w:rPr>
      </w:pPr>
      <w:r>
        <w:rPr>
          <w:rFonts w:hint="eastAsia" w:asciiTheme="minorEastAsia" w:hAnsiTheme="minorEastAsia" w:eastAsiaTheme="minorEastAsia"/>
          <w:b/>
          <w:bCs/>
          <w:sz w:val="28"/>
          <w:szCs w:val="28"/>
        </w:rPr>
        <w:t>8     税  费</w:t>
      </w:r>
    </w:p>
    <w:p>
      <w:pPr>
        <w:numPr>
          <w:ilvl w:val="1"/>
          <w:numId w:val="13"/>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中国政府根据中国税法对买方征收的与执行合同有关的一切税费，均应由买方负担。</w:t>
      </w:r>
    </w:p>
    <w:p>
      <w:pPr>
        <w:numPr>
          <w:ilvl w:val="1"/>
          <w:numId w:val="13"/>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中国政府根据中国税法对卖方征收的与执行合同有关的一切税费，均应由卖方负担</w:t>
      </w:r>
    </w:p>
    <w:p>
      <w:pPr>
        <w:numPr>
          <w:ilvl w:val="1"/>
          <w:numId w:val="13"/>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在中国境外发生的与执行合同有关的一切税费，均由卖方负担。</w:t>
      </w:r>
    </w:p>
    <w:p>
      <w:pPr>
        <w:pStyle w:val="15"/>
        <w:tabs>
          <w:tab w:val="left" w:pos="840"/>
        </w:tabs>
        <w:spacing w:line="440" w:lineRule="exact"/>
        <w:ind w:left="420" w:hanging="420"/>
        <w:rPr>
          <w:rFonts w:asciiTheme="minorEastAsia" w:hAnsiTheme="minorEastAsia" w:eastAsiaTheme="minorEastAsia"/>
          <w:b/>
          <w:sz w:val="28"/>
          <w:szCs w:val="28"/>
        </w:rPr>
      </w:pPr>
      <w:r>
        <w:rPr>
          <w:rFonts w:hint="eastAsia" w:asciiTheme="minorEastAsia" w:hAnsiTheme="minorEastAsia" w:eastAsiaTheme="minorEastAsia"/>
          <w:b/>
          <w:bCs/>
          <w:sz w:val="28"/>
          <w:szCs w:val="28"/>
        </w:rPr>
        <w:t>9    诉  讼</w:t>
      </w:r>
    </w:p>
    <w:p>
      <w:pPr>
        <w:numPr>
          <w:ilvl w:val="1"/>
          <w:numId w:val="14"/>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因执行本合同所发生的和与本合同有关的一切争议将由双方当事人通过友好协商解决。如果不能协商一致，应将争议提交合同签订地人民法院解决。</w:t>
      </w:r>
    </w:p>
    <w:p>
      <w:pPr>
        <w:pStyle w:val="15"/>
        <w:tabs>
          <w:tab w:val="left" w:pos="840"/>
        </w:tabs>
        <w:spacing w:line="440" w:lineRule="exact"/>
        <w:ind w:left="420" w:hanging="420"/>
        <w:rPr>
          <w:rFonts w:asciiTheme="minorEastAsia" w:hAnsiTheme="minorEastAsia" w:eastAsiaTheme="minorEastAsia"/>
          <w:b/>
          <w:sz w:val="28"/>
          <w:szCs w:val="28"/>
        </w:rPr>
      </w:pPr>
      <w:r>
        <w:rPr>
          <w:rFonts w:hint="eastAsia" w:asciiTheme="minorEastAsia" w:hAnsiTheme="minorEastAsia" w:eastAsiaTheme="minorEastAsia"/>
          <w:b/>
          <w:bCs/>
          <w:sz w:val="28"/>
          <w:szCs w:val="28"/>
        </w:rPr>
        <w:t>10    合同生效及其他</w:t>
      </w:r>
    </w:p>
    <w:p>
      <w:pPr>
        <w:numPr>
          <w:ilvl w:val="1"/>
          <w:numId w:val="15"/>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本合同经双方法定代表人或授权代表签字盖章后生效。</w:t>
      </w:r>
    </w:p>
    <w:p>
      <w:pPr>
        <w:numPr>
          <w:ilvl w:val="1"/>
          <w:numId w:val="15"/>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合同到期后，合同项下任何尚未了结的债权和债务不受合同到期的影响。债务人仍有义务向债权人履行其义务。</w:t>
      </w:r>
    </w:p>
    <w:p>
      <w:pPr>
        <w:numPr>
          <w:ilvl w:val="1"/>
          <w:numId w:val="15"/>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本合同一式    份，双方当事人各执     份。</w:t>
      </w:r>
    </w:p>
    <w:p>
      <w:pPr>
        <w:numPr>
          <w:ilvl w:val="1"/>
          <w:numId w:val="15"/>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本合同的附件为本合同不可分割的组成部分，并具有与合同正文同样的法律效力。如果附件与合同正文不一致，合同正文效力优先。</w:t>
      </w:r>
    </w:p>
    <w:p>
      <w:pPr>
        <w:numPr>
          <w:ilvl w:val="1"/>
          <w:numId w:val="15"/>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对本合同条款的任何补充、增添或修改应以书面方式进行并由双方授权代表签字。</w:t>
      </w:r>
    </w:p>
    <w:p>
      <w:pPr>
        <w:numPr>
          <w:ilvl w:val="1"/>
          <w:numId w:val="15"/>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没有另一方当事人的事先同意，任何一方当事人不得将合同项下的任何权利和义务转让给第三方。</w:t>
      </w:r>
    </w:p>
    <w:p>
      <w:pPr>
        <w:numPr>
          <w:ilvl w:val="1"/>
          <w:numId w:val="15"/>
        </w:numPr>
        <w:tabs>
          <w:tab w:val="left" w:pos="840"/>
          <w:tab w:val="clear" w:pos="480"/>
        </w:tabs>
        <w:spacing w:line="30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合同签订地：衡阳华菱钢管（连轧管）有限公司。</w:t>
      </w: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pStyle w:val="35"/>
        <w:rPr>
          <w:rFonts w:asciiTheme="minorEastAsia" w:hAnsiTheme="minorEastAsia" w:eastAsiaTheme="minorEastAsia"/>
          <w:b w:val="0"/>
          <w:sz w:val="28"/>
          <w:szCs w:val="28"/>
        </w:rPr>
      </w:pPr>
      <w:r>
        <w:rPr>
          <w:rFonts w:asciiTheme="minorEastAsia" w:hAnsiTheme="minorEastAsia" w:eastAsiaTheme="minorEastAsia"/>
          <w:sz w:val="28"/>
          <w:szCs w:val="28"/>
        </w:rPr>
        <w:br w:type="page"/>
      </w:r>
      <w:bookmarkStart w:id="16" w:name="_Toc303864998"/>
      <w:bookmarkStart w:id="17" w:name="_Toc300678565"/>
    </w:p>
    <w:p>
      <w:pPr>
        <w:widowControl/>
        <w:jc w:val="left"/>
        <w:rPr>
          <w:rFonts w:asciiTheme="minorEastAsia" w:hAnsiTheme="minorEastAsia" w:eastAsiaTheme="minorEastAsia"/>
          <w:b/>
          <w:sz w:val="28"/>
          <w:szCs w:val="28"/>
        </w:rPr>
      </w:pPr>
    </w:p>
    <w:p>
      <w:pPr>
        <w:widowControl/>
        <w:jc w:val="left"/>
        <w:rPr>
          <w:rFonts w:asciiTheme="minorEastAsia" w:hAnsiTheme="minorEastAsia" w:eastAsiaTheme="minorEastAsia"/>
          <w:b/>
          <w:sz w:val="28"/>
          <w:szCs w:val="28"/>
        </w:rPr>
      </w:pPr>
    </w:p>
    <w:p>
      <w:pPr>
        <w:widowControl/>
        <w:ind w:firstLine="2901" w:firstLineChars="344"/>
        <w:jc w:val="left"/>
        <w:rPr>
          <w:rFonts w:asciiTheme="minorEastAsia" w:hAnsiTheme="minorEastAsia" w:eastAsiaTheme="minorEastAsia"/>
          <w:b/>
          <w:sz w:val="84"/>
          <w:szCs w:val="84"/>
        </w:rPr>
      </w:pPr>
      <w:r>
        <w:rPr>
          <w:rFonts w:hint="eastAsia" w:asciiTheme="minorEastAsia" w:hAnsiTheme="minorEastAsia" w:eastAsiaTheme="minorEastAsia"/>
          <w:b/>
          <w:kern w:val="0"/>
          <w:sz w:val="84"/>
          <w:szCs w:val="84"/>
        </w:rPr>
        <w:t>投标文件</w:t>
      </w:r>
    </w:p>
    <w:p>
      <w:pPr>
        <w:pStyle w:val="35"/>
        <w:rPr>
          <w:rFonts w:asciiTheme="minorEastAsia" w:hAnsiTheme="minorEastAsia" w:eastAsiaTheme="minorEastAsia"/>
          <w:kern w:val="0"/>
          <w:sz w:val="28"/>
          <w:szCs w:val="28"/>
        </w:rPr>
      </w:pPr>
    </w:p>
    <w:p>
      <w:pPr>
        <w:pStyle w:val="2"/>
        <w:jc w:val="center"/>
        <w:rPr>
          <w:rFonts w:asciiTheme="minorEastAsia" w:hAnsiTheme="minorEastAsia" w:eastAsiaTheme="minorEastAsia"/>
          <w:b w:val="0"/>
          <w:sz w:val="28"/>
          <w:szCs w:val="28"/>
        </w:rPr>
      </w:pPr>
    </w:p>
    <w:p>
      <w:pPr>
        <w:rPr>
          <w:rFonts w:asciiTheme="minorEastAsia" w:hAnsiTheme="minorEastAsia" w:eastAsiaTheme="minorEastAsia"/>
        </w:rPr>
      </w:pPr>
    </w:p>
    <w:p>
      <w:pPr>
        <w:rPr>
          <w:rFonts w:asciiTheme="minorEastAsia" w:hAnsiTheme="minorEastAsia" w:eastAsiaTheme="minorEastAsia"/>
        </w:rPr>
      </w:pPr>
    </w:p>
    <w:p>
      <w:pPr>
        <w:jc w:val="left"/>
        <w:rPr>
          <w:rFonts w:asciiTheme="minorEastAsia" w:hAnsiTheme="minorEastAsia" w:eastAsiaTheme="minorEastAsia"/>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bookmarkEnd w:id="16"/>
    <w:bookmarkEnd w:id="17"/>
    <w:p>
      <w:pPr>
        <w:spacing w:line="360" w:lineRule="auto"/>
        <w:jc w:val="left"/>
        <w:rPr>
          <w:rFonts w:asciiTheme="minorEastAsia" w:hAnsiTheme="minorEastAsia" w:eastAsiaTheme="minorEastAsia"/>
          <w:sz w:val="28"/>
          <w:szCs w:val="28"/>
        </w:rPr>
      </w:pPr>
    </w:p>
    <w:p>
      <w:pPr>
        <w:widowControl/>
        <w:rPr>
          <w:rFonts w:asciiTheme="minorEastAsia" w:hAnsiTheme="minorEastAsia" w:eastAsiaTheme="minorEastAsia"/>
          <w:kern w:val="0"/>
          <w:sz w:val="28"/>
          <w:szCs w:val="28"/>
        </w:rPr>
      </w:pPr>
    </w:p>
    <w:p>
      <w:pPr>
        <w:ind w:firstLine="832" w:firstLineChars="296"/>
        <w:rPr>
          <w:rFonts w:asciiTheme="minorEastAsia" w:hAnsiTheme="minorEastAsia" w:eastAsiaTheme="minorEastAsia"/>
          <w:b/>
          <w:sz w:val="28"/>
          <w:szCs w:val="28"/>
        </w:rPr>
      </w:pPr>
      <w:r>
        <w:rPr>
          <w:rFonts w:hint="eastAsia" w:asciiTheme="minorEastAsia" w:hAnsiTheme="minorEastAsia" w:eastAsiaTheme="minorEastAsia"/>
          <w:b/>
          <w:sz w:val="28"/>
          <w:szCs w:val="28"/>
        </w:rPr>
        <w:t>项目编号：HGJY-G2023194</w:t>
      </w:r>
    </w:p>
    <w:p>
      <w:pPr>
        <w:ind w:firstLine="843" w:firstLineChars="300"/>
        <w:jc w:val="left"/>
        <w:rPr>
          <w:rFonts w:ascii="宋体" w:hAnsi="宋体" w:cs="宋体"/>
          <w:b/>
          <w:bCs/>
          <w:sz w:val="28"/>
          <w:szCs w:val="28"/>
        </w:rPr>
      </w:pPr>
      <w:r>
        <w:rPr>
          <w:rFonts w:hint="eastAsia" w:asciiTheme="minorEastAsia" w:hAnsiTheme="minorEastAsia" w:eastAsiaTheme="minorEastAsia"/>
          <w:b/>
          <w:bCs/>
          <w:sz w:val="28"/>
          <w:szCs w:val="28"/>
        </w:rPr>
        <w:t>项目名称：202</w:t>
      </w:r>
      <w:r>
        <w:rPr>
          <w:rFonts w:hint="eastAsia" w:asciiTheme="minorEastAsia" w:hAnsiTheme="minorEastAsia" w:eastAsiaTheme="minorEastAsia"/>
          <w:b/>
          <w:bCs/>
          <w:sz w:val="28"/>
          <w:szCs w:val="28"/>
          <w:lang w:val="en-US" w:eastAsia="zh-CN"/>
        </w:rPr>
        <w:t>4</w:t>
      </w:r>
      <w:r>
        <w:rPr>
          <w:rFonts w:hint="eastAsia" w:asciiTheme="minorEastAsia" w:hAnsiTheme="minorEastAsia" w:eastAsiaTheme="minorEastAsia"/>
          <w:b/>
          <w:bCs/>
          <w:sz w:val="28"/>
          <w:szCs w:val="28"/>
        </w:rPr>
        <w:t>年</w:t>
      </w:r>
      <w:r>
        <w:rPr>
          <w:rFonts w:hint="eastAsia" w:asciiTheme="minorEastAsia" w:hAnsiTheme="minorEastAsia" w:eastAsiaTheme="minorEastAsia"/>
          <w:b/>
          <w:bCs/>
          <w:sz w:val="28"/>
          <w:szCs w:val="28"/>
          <w:lang w:val="en-US" w:eastAsia="zh-CN"/>
        </w:rPr>
        <w:t>1-6</w:t>
      </w:r>
      <w:r>
        <w:rPr>
          <w:rFonts w:hint="eastAsia" w:asciiTheme="minorEastAsia" w:hAnsiTheme="minorEastAsia" w:eastAsiaTheme="minorEastAsia"/>
          <w:b/>
          <w:bCs/>
          <w:sz w:val="28"/>
          <w:szCs w:val="28"/>
        </w:rPr>
        <w:t>月炼钢炼铁用</w:t>
      </w:r>
      <w:r>
        <w:rPr>
          <w:rFonts w:hint="eastAsia" w:ascii="宋体" w:hAnsi="宋体" w:cs="宋体"/>
          <w:b/>
          <w:bCs/>
          <w:sz w:val="28"/>
          <w:szCs w:val="28"/>
        </w:rPr>
        <w:t>保温覆盖剂（碳化稻壳型）</w:t>
      </w:r>
    </w:p>
    <w:p>
      <w:pPr>
        <w:ind w:left="2165" w:leftChars="1031" w:firstLine="157" w:firstLineChars="56"/>
        <w:jc w:val="lef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采购项目</w:t>
      </w:r>
    </w:p>
    <w:p>
      <w:pPr>
        <w:widowControl/>
        <w:jc w:val="center"/>
        <w:rPr>
          <w:rFonts w:asciiTheme="minorEastAsia" w:hAnsiTheme="minorEastAsia" w:eastAsiaTheme="minorEastAsia"/>
          <w:b/>
          <w:kern w:val="0"/>
          <w:sz w:val="28"/>
          <w:szCs w:val="28"/>
        </w:rPr>
      </w:pPr>
    </w:p>
    <w:p>
      <w:pPr>
        <w:widowControl/>
        <w:jc w:val="center"/>
        <w:rPr>
          <w:rFonts w:asciiTheme="minorEastAsia" w:hAnsiTheme="minorEastAsia" w:eastAsiaTheme="minorEastAsia"/>
          <w:b/>
          <w:kern w:val="0"/>
          <w:sz w:val="28"/>
          <w:szCs w:val="28"/>
        </w:rPr>
      </w:pPr>
    </w:p>
    <w:p>
      <w:pPr>
        <w:widowControl/>
        <w:jc w:val="center"/>
        <w:rPr>
          <w:rFonts w:asciiTheme="minorEastAsia" w:hAnsiTheme="minorEastAsia" w:eastAsiaTheme="minorEastAsia"/>
          <w:b/>
          <w:sz w:val="28"/>
          <w:szCs w:val="28"/>
        </w:rPr>
      </w:pPr>
    </w:p>
    <w:p>
      <w:pPr>
        <w:widowControl/>
        <w:jc w:val="center"/>
        <w:rPr>
          <w:rFonts w:asciiTheme="minorEastAsia" w:hAnsiTheme="minorEastAsia" w:eastAsiaTheme="minorEastAsia"/>
          <w:b/>
          <w:sz w:val="28"/>
          <w:szCs w:val="28"/>
        </w:rPr>
      </w:pPr>
    </w:p>
    <w:p>
      <w:pPr>
        <w:widowControl/>
        <w:jc w:val="center"/>
        <w:rPr>
          <w:rFonts w:asciiTheme="minorEastAsia" w:hAnsiTheme="minorEastAsia" w:eastAsiaTheme="minorEastAsia"/>
          <w:b/>
          <w:sz w:val="28"/>
          <w:szCs w:val="28"/>
        </w:rPr>
      </w:pPr>
    </w:p>
    <w:p>
      <w:pPr>
        <w:spacing w:line="360" w:lineRule="auto"/>
        <w:jc w:val="left"/>
        <w:rPr>
          <w:rFonts w:asciiTheme="minorEastAsia" w:hAnsiTheme="minorEastAsia" w:eastAsiaTheme="minorEastAsia"/>
          <w:b/>
          <w:sz w:val="28"/>
          <w:szCs w:val="28"/>
        </w:rPr>
      </w:pPr>
    </w:p>
    <w:p>
      <w:pPr>
        <w:spacing w:line="360" w:lineRule="auto"/>
        <w:jc w:val="left"/>
        <w:rPr>
          <w:rFonts w:asciiTheme="minorEastAsia" w:hAnsiTheme="minorEastAsia" w:eastAsiaTheme="minorEastAsia"/>
          <w:b/>
          <w:sz w:val="28"/>
          <w:szCs w:val="28"/>
        </w:rPr>
      </w:pPr>
    </w:p>
    <w:p>
      <w:pPr>
        <w:widowControl/>
        <w:spacing w:line="360" w:lineRule="auto"/>
        <w:jc w:val="left"/>
        <w:rPr>
          <w:rFonts w:asciiTheme="minorEastAsia" w:hAnsiTheme="minorEastAsia" w:eastAsiaTheme="minorEastAsia"/>
          <w:b/>
          <w:kern w:val="0"/>
          <w:sz w:val="28"/>
          <w:szCs w:val="28"/>
        </w:rPr>
      </w:pPr>
      <w:r>
        <w:rPr>
          <w:rFonts w:hint="eastAsia" w:asciiTheme="minorEastAsia" w:hAnsiTheme="minorEastAsia" w:eastAsiaTheme="minorEastAsia"/>
          <w:b/>
          <w:kern w:val="0"/>
          <w:sz w:val="28"/>
          <w:szCs w:val="28"/>
        </w:rPr>
        <w:t xml:space="preserve">     投标人：（盖单位公章）</w:t>
      </w:r>
    </w:p>
    <w:p>
      <w:pPr>
        <w:widowControl/>
        <w:spacing w:line="360" w:lineRule="auto"/>
        <w:ind w:firstLine="689" w:firstLineChars="245"/>
        <w:jc w:val="left"/>
        <w:rPr>
          <w:rFonts w:asciiTheme="minorEastAsia" w:hAnsiTheme="minorEastAsia" w:eastAsiaTheme="minorEastAsia"/>
          <w:b/>
          <w:kern w:val="0"/>
          <w:sz w:val="28"/>
          <w:szCs w:val="28"/>
        </w:rPr>
      </w:pPr>
      <w:r>
        <w:rPr>
          <w:rFonts w:hint="eastAsia" w:asciiTheme="minorEastAsia" w:hAnsiTheme="minorEastAsia" w:eastAsiaTheme="minorEastAsia"/>
          <w:b/>
          <w:kern w:val="0"/>
          <w:sz w:val="28"/>
          <w:szCs w:val="28"/>
        </w:rPr>
        <w:t>法定代表人或其委托代理人： （签字或盖章）</w:t>
      </w:r>
    </w:p>
    <w:p>
      <w:pPr>
        <w:widowControl/>
        <w:spacing w:line="360" w:lineRule="auto"/>
        <w:ind w:firstLine="689" w:firstLineChars="245"/>
        <w:jc w:val="center"/>
        <w:rPr>
          <w:rFonts w:asciiTheme="minorEastAsia" w:hAnsiTheme="minorEastAsia" w:eastAsiaTheme="minorEastAsia"/>
          <w:b/>
          <w:kern w:val="0"/>
          <w:sz w:val="32"/>
          <w:szCs w:val="32"/>
        </w:rPr>
      </w:pPr>
      <w:r>
        <w:rPr>
          <w:rFonts w:hint="eastAsia" w:asciiTheme="minorEastAsia" w:hAnsiTheme="minorEastAsia" w:eastAsiaTheme="minorEastAsia"/>
          <w:b/>
          <w:kern w:val="0"/>
          <w:sz w:val="28"/>
          <w:szCs w:val="28"/>
        </w:rPr>
        <w:t>日  期：  年    月   日</w:t>
      </w:r>
      <w:bookmarkStart w:id="18" w:name="_Toc300678566"/>
      <w:r>
        <w:rPr>
          <w:rFonts w:asciiTheme="minorEastAsia" w:hAnsiTheme="minorEastAsia" w:eastAsiaTheme="minorEastAsia"/>
          <w:kern w:val="0"/>
          <w:sz w:val="28"/>
          <w:szCs w:val="28"/>
        </w:rPr>
        <w:br w:type="page"/>
      </w:r>
      <w:bookmarkEnd w:id="18"/>
      <w:bookmarkStart w:id="19" w:name="_Toc38870577"/>
      <w:bookmarkStart w:id="20" w:name="_Toc300678567"/>
      <w:r>
        <w:rPr>
          <w:rFonts w:hint="eastAsia" w:asciiTheme="minorEastAsia" w:hAnsiTheme="minorEastAsia" w:eastAsiaTheme="minorEastAsia"/>
          <w:b/>
          <w:kern w:val="0"/>
          <w:sz w:val="32"/>
          <w:szCs w:val="32"/>
        </w:rPr>
        <w:t>第一部分：投标函部分</w:t>
      </w:r>
      <w:bookmarkEnd w:id="19"/>
    </w:p>
    <w:p>
      <w:pPr>
        <w:rPr>
          <w:rFonts w:asciiTheme="minorEastAsia" w:hAnsiTheme="minorEastAsia" w:eastAsiaTheme="minorEastAsia"/>
        </w:rPr>
      </w:pPr>
    </w:p>
    <w:p>
      <w:pPr>
        <w:pStyle w:val="100"/>
        <w:numPr>
          <w:ilvl w:val="0"/>
          <w:numId w:val="16"/>
        </w:numPr>
        <w:spacing w:line="276" w:lineRule="auto"/>
        <w:ind w:firstLineChars="0"/>
        <w:rPr>
          <w:rFonts w:asciiTheme="minorEastAsia" w:hAnsiTheme="minorEastAsia" w:eastAsiaTheme="minorEastAsia"/>
          <w:sz w:val="32"/>
          <w:szCs w:val="32"/>
        </w:rPr>
      </w:pPr>
      <w:r>
        <w:fldChar w:fldCharType="begin"/>
      </w:r>
      <w:r>
        <w:instrText xml:space="preserve"> HYPERLINK \l "_Toc300678567" </w:instrText>
      </w:r>
      <w:r>
        <w:fldChar w:fldCharType="separate"/>
      </w:r>
      <w:r>
        <w:rPr>
          <w:rStyle w:val="42"/>
          <w:rFonts w:hint="eastAsia" w:asciiTheme="minorEastAsia" w:hAnsiTheme="minorEastAsia" w:eastAsiaTheme="minorEastAsia"/>
          <w:color w:val="auto"/>
          <w:sz w:val="32"/>
          <w:szCs w:val="32"/>
          <w:u w:val="none"/>
        </w:rPr>
        <w:t>投标函</w:t>
      </w:r>
      <w:r>
        <w:rPr>
          <w:rStyle w:val="42"/>
          <w:rFonts w:hint="eastAsia" w:asciiTheme="minorEastAsia" w:hAnsiTheme="minorEastAsia" w:eastAsiaTheme="minorEastAsia"/>
          <w:color w:val="auto"/>
          <w:sz w:val="32"/>
          <w:szCs w:val="32"/>
          <w:u w:val="none"/>
        </w:rPr>
        <w:fldChar w:fldCharType="end"/>
      </w:r>
    </w:p>
    <w:p>
      <w:pPr>
        <w:pStyle w:val="100"/>
        <w:numPr>
          <w:ilvl w:val="0"/>
          <w:numId w:val="16"/>
        </w:numPr>
        <w:spacing w:line="276" w:lineRule="auto"/>
        <w:ind w:firstLineChars="0"/>
        <w:rPr>
          <w:rFonts w:asciiTheme="minorEastAsia" w:hAnsiTheme="minorEastAsia" w:eastAsiaTheme="minorEastAsia"/>
          <w:sz w:val="32"/>
          <w:szCs w:val="32"/>
        </w:rPr>
      </w:pPr>
      <w:r>
        <w:rPr>
          <w:rFonts w:hint="eastAsia" w:asciiTheme="minorEastAsia" w:hAnsiTheme="minorEastAsia" w:eastAsiaTheme="minorEastAsia"/>
          <w:sz w:val="32"/>
          <w:szCs w:val="32"/>
        </w:rPr>
        <w:t>营业执照（复印件）</w:t>
      </w:r>
    </w:p>
    <w:p>
      <w:pPr>
        <w:spacing w:line="276" w:lineRule="auto"/>
        <w:ind w:firstLine="320" w:firstLineChars="100"/>
        <w:rPr>
          <w:rFonts w:asciiTheme="minorEastAsia" w:hAnsiTheme="minorEastAsia" w:eastAsiaTheme="minorEastAsia"/>
          <w:sz w:val="32"/>
          <w:szCs w:val="32"/>
        </w:rPr>
      </w:pPr>
      <w:r>
        <w:rPr>
          <w:rFonts w:hint="eastAsia" w:asciiTheme="minorEastAsia" w:hAnsiTheme="minorEastAsia" w:eastAsiaTheme="minorEastAsia"/>
          <w:sz w:val="32"/>
          <w:szCs w:val="32"/>
        </w:rPr>
        <w:t>三、</w:t>
      </w:r>
      <w:r>
        <w:fldChar w:fldCharType="begin"/>
      </w:r>
      <w:r>
        <w:instrText xml:space="preserve"> HYPERLINK \l "_Toc300678570" </w:instrText>
      </w:r>
      <w:r>
        <w:fldChar w:fldCharType="separate"/>
      </w:r>
      <w:r>
        <w:rPr>
          <w:rStyle w:val="42"/>
          <w:rFonts w:hint="eastAsia" w:asciiTheme="minorEastAsia" w:hAnsiTheme="minorEastAsia" w:eastAsiaTheme="minorEastAsia"/>
          <w:color w:val="auto"/>
          <w:sz w:val="32"/>
          <w:szCs w:val="32"/>
          <w:u w:val="none"/>
        </w:rPr>
        <w:t xml:space="preserve"> 法定代表人身份证明</w:t>
      </w:r>
      <w:r>
        <w:rPr>
          <w:rStyle w:val="42"/>
          <w:rFonts w:hint="eastAsia" w:asciiTheme="minorEastAsia" w:hAnsiTheme="minorEastAsia" w:eastAsiaTheme="minorEastAsia"/>
          <w:color w:val="auto"/>
          <w:sz w:val="32"/>
          <w:szCs w:val="32"/>
          <w:u w:val="none"/>
        </w:rPr>
        <w:fldChar w:fldCharType="end"/>
      </w:r>
    </w:p>
    <w:p>
      <w:pPr>
        <w:spacing w:line="276" w:lineRule="auto"/>
        <w:ind w:firstLine="320" w:firstLineChars="100"/>
        <w:rPr>
          <w:rFonts w:asciiTheme="minorEastAsia" w:hAnsiTheme="minorEastAsia" w:eastAsiaTheme="minorEastAsia"/>
          <w:sz w:val="32"/>
          <w:szCs w:val="32"/>
        </w:rPr>
      </w:pPr>
      <w:r>
        <w:rPr>
          <w:rFonts w:hint="eastAsia" w:asciiTheme="minorEastAsia" w:hAnsiTheme="minorEastAsia" w:eastAsiaTheme="minorEastAsia"/>
          <w:sz w:val="32"/>
          <w:szCs w:val="32"/>
        </w:rPr>
        <w:t>四、 授权委托书</w:t>
      </w:r>
    </w:p>
    <w:p>
      <w:pPr>
        <w:spacing w:line="276" w:lineRule="auto"/>
        <w:ind w:firstLine="320" w:firstLineChars="100"/>
        <w:rPr>
          <w:rFonts w:asciiTheme="minorEastAsia" w:hAnsiTheme="minorEastAsia" w:eastAsiaTheme="minorEastAsia"/>
          <w:sz w:val="32"/>
          <w:szCs w:val="32"/>
        </w:rPr>
      </w:pPr>
      <w:r>
        <w:rPr>
          <w:rFonts w:hint="eastAsia" w:asciiTheme="minorEastAsia" w:hAnsiTheme="minorEastAsia" w:eastAsiaTheme="minorEastAsia"/>
          <w:sz w:val="32"/>
          <w:szCs w:val="32"/>
        </w:rPr>
        <w:t>五、 投标保证金承诺函</w:t>
      </w:r>
    </w:p>
    <w:p>
      <w:pPr>
        <w:spacing w:line="400" w:lineRule="exact"/>
        <w:ind w:firstLine="320" w:firstLineChars="100"/>
        <w:rPr>
          <w:rStyle w:val="39"/>
          <w:rFonts w:asciiTheme="minorEastAsia" w:hAnsiTheme="minorEastAsia" w:eastAsiaTheme="minorEastAsia"/>
          <w:b w:val="0"/>
          <w:sz w:val="32"/>
          <w:szCs w:val="32"/>
        </w:rPr>
      </w:pPr>
      <w:r>
        <w:rPr>
          <w:rStyle w:val="39"/>
          <w:rFonts w:hint="eastAsia" w:asciiTheme="minorEastAsia" w:hAnsiTheme="minorEastAsia" w:eastAsiaTheme="minorEastAsia"/>
          <w:b w:val="0"/>
          <w:sz w:val="32"/>
          <w:szCs w:val="32"/>
        </w:rPr>
        <w:t>六、 标书费付费凭证</w:t>
      </w:r>
    </w:p>
    <w:p>
      <w:pPr>
        <w:spacing w:line="400" w:lineRule="exact"/>
        <w:ind w:firstLine="320" w:firstLineChars="100"/>
        <w:rPr>
          <w:rFonts w:asciiTheme="minorEastAsia" w:hAnsiTheme="minorEastAsia" w:eastAsiaTheme="minorEastAsia"/>
          <w:sz w:val="32"/>
          <w:szCs w:val="32"/>
        </w:rPr>
      </w:pPr>
      <w:r>
        <w:rPr>
          <w:rStyle w:val="39"/>
          <w:rFonts w:hint="eastAsia" w:asciiTheme="minorEastAsia" w:hAnsiTheme="minorEastAsia" w:eastAsiaTheme="minorEastAsia"/>
          <w:b w:val="0"/>
          <w:sz w:val="32"/>
          <w:szCs w:val="32"/>
        </w:rPr>
        <w:t>七、 投标单位</w:t>
      </w:r>
      <w:r>
        <w:rPr>
          <w:rFonts w:hint="eastAsia" w:asciiTheme="minorEastAsia" w:hAnsiTheme="minorEastAsia" w:eastAsiaTheme="minorEastAsia"/>
          <w:sz w:val="32"/>
          <w:szCs w:val="32"/>
        </w:rPr>
        <w:t>开票信息表</w:t>
      </w:r>
    </w:p>
    <w:p>
      <w:pPr>
        <w:spacing w:line="276" w:lineRule="auto"/>
        <w:ind w:firstLine="320" w:firstLineChars="100"/>
        <w:rPr>
          <w:rFonts w:asciiTheme="minorEastAsia" w:hAnsiTheme="minorEastAsia" w:eastAsiaTheme="minorEastAsia"/>
          <w:sz w:val="32"/>
          <w:szCs w:val="32"/>
        </w:rPr>
      </w:pPr>
      <w:r>
        <w:rPr>
          <w:rFonts w:hint="eastAsia" w:asciiTheme="minorEastAsia" w:hAnsiTheme="minorEastAsia" w:eastAsiaTheme="minorEastAsia"/>
          <w:sz w:val="32"/>
          <w:szCs w:val="32"/>
        </w:rPr>
        <w:t>八、 其他资格证明材类</w:t>
      </w:r>
    </w:p>
    <w:p>
      <w:pPr>
        <w:widowControl/>
        <w:spacing w:before="156" w:after="312" w:line="420" w:lineRule="atLeast"/>
        <w:ind w:firstLine="703" w:firstLineChars="250"/>
        <w:rPr>
          <w:rStyle w:val="42"/>
          <w:rFonts w:asciiTheme="minorEastAsia" w:hAnsiTheme="minorEastAsia" w:eastAsiaTheme="minorEastAsia"/>
          <w:b/>
          <w:color w:val="auto"/>
          <w:sz w:val="28"/>
          <w:szCs w:val="28"/>
          <w:u w:val="none"/>
        </w:rPr>
      </w:pPr>
    </w:p>
    <w:p>
      <w:pPr>
        <w:spacing w:line="276" w:lineRule="auto"/>
        <w:rPr>
          <w:rStyle w:val="42"/>
          <w:rFonts w:asciiTheme="minorEastAsia" w:hAnsiTheme="minorEastAsia" w:eastAsiaTheme="minorEastAsia"/>
          <w:color w:val="auto"/>
          <w:sz w:val="28"/>
          <w:szCs w:val="28"/>
          <w:u w:val="none"/>
        </w:rPr>
      </w:pPr>
    </w:p>
    <w:p>
      <w:pPr>
        <w:spacing w:line="276" w:lineRule="auto"/>
        <w:rPr>
          <w:rStyle w:val="42"/>
          <w:rFonts w:asciiTheme="minorEastAsia" w:hAnsiTheme="minorEastAsia" w:eastAsiaTheme="minorEastAsia"/>
          <w:color w:val="auto"/>
          <w:sz w:val="28"/>
          <w:szCs w:val="28"/>
          <w:u w:val="none"/>
        </w:rPr>
      </w:pPr>
    </w:p>
    <w:p>
      <w:pPr>
        <w:spacing w:line="276" w:lineRule="auto"/>
        <w:rPr>
          <w:rStyle w:val="42"/>
          <w:rFonts w:asciiTheme="minorEastAsia" w:hAnsiTheme="minorEastAsia" w:eastAsiaTheme="minorEastAsia"/>
          <w:color w:val="auto"/>
          <w:sz w:val="28"/>
          <w:szCs w:val="28"/>
          <w:u w:val="none"/>
        </w:rPr>
      </w:pPr>
    </w:p>
    <w:p>
      <w:pPr>
        <w:spacing w:line="276" w:lineRule="auto"/>
        <w:rPr>
          <w:rStyle w:val="42"/>
          <w:rFonts w:asciiTheme="minorEastAsia" w:hAnsiTheme="minorEastAsia" w:eastAsiaTheme="minorEastAsia"/>
          <w:color w:val="auto"/>
          <w:sz w:val="28"/>
          <w:szCs w:val="28"/>
          <w:u w:val="none"/>
        </w:rPr>
      </w:pPr>
    </w:p>
    <w:p>
      <w:pPr>
        <w:spacing w:line="276" w:lineRule="auto"/>
        <w:rPr>
          <w:rStyle w:val="42"/>
          <w:rFonts w:asciiTheme="minorEastAsia" w:hAnsiTheme="minorEastAsia" w:eastAsiaTheme="minorEastAsia"/>
          <w:color w:val="auto"/>
          <w:sz w:val="28"/>
          <w:szCs w:val="28"/>
          <w:u w:val="none"/>
        </w:rPr>
      </w:pPr>
    </w:p>
    <w:p>
      <w:pPr>
        <w:spacing w:line="276" w:lineRule="auto"/>
        <w:rPr>
          <w:rStyle w:val="42"/>
          <w:rFonts w:asciiTheme="minorEastAsia" w:hAnsiTheme="minorEastAsia" w:eastAsiaTheme="minorEastAsia"/>
          <w:color w:val="auto"/>
          <w:sz w:val="28"/>
          <w:szCs w:val="28"/>
          <w:u w:val="none"/>
        </w:rPr>
      </w:pPr>
    </w:p>
    <w:p>
      <w:pPr>
        <w:spacing w:line="276" w:lineRule="auto"/>
        <w:rPr>
          <w:rStyle w:val="42"/>
          <w:rFonts w:asciiTheme="minorEastAsia" w:hAnsiTheme="minorEastAsia" w:eastAsiaTheme="minorEastAsia"/>
          <w:color w:val="auto"/>
          <w:sz w:val="28"/>
          <w:szCs w:val="28"/>
          <w:u w:val="none"/>
        </w:rPr>
      </w:pPr>
    </w:p>
    <w:p>
      <w:pPr>
        <w:spacing w:line="276" w:lineRule="auto"/>
        <w:rPr>
          <w:rStyle w:val="42"/>
          <w:rFonts w:asciiTheme="minorEastAsia" w:hAnsiTheme="minorEastAsia" w:eastAsiaTheme="minorEastAsia"/>
          <w:color w:val="auto"/>
          <w:sz w:val="28"/>
          <w:szCs w:val="28"/>
          <w:u w:val="none"/>
        </w:rPr>
      </w:pPr>
    </w:p>
    <w:p>
      <w:pPr>
        <w:spacing w:line="276" w:lineRule="auto"/>
        <w:rPr>
          <w:rStyle w:val="42"/>
          <w:rFonts w:asciiTheme="minorEastAsia" w:hAnsiTheme="minorEastAsia" w:eastAsiaTheme="minorEastAsia"/>
          <w:color w:val="auto"/>
          <w:sz w:val="28"/>
          <w:szCs w:val="28"/>
          <w:u w:val="none"/>
        </w:rPr>
      </w:pPr>
    </w:p>
    <w:p>
      <w:pPr>
        <w:spacing w:line="276" w:lineRule="auto"/>
        <w:rPr>
          <w:rStyle w:val="42"/>
          <w:rFonts w:asciiTheme="minorEastAsia" w:hAnsiTheme="minorEastAsia" w:eastAsiaTheme="minorEastAsia"/>
          <w:color w:val="auto"/>
          <w:sz w:val="28"/>
          <w:szCs w:val="28"/>
          <w:u w:val="none"/>
        </w:rPr>
      </w:pPr>
    </w:p>
    <w:p>
      <w:pPr>
        <w:spacing w:line="276" w:lineRule="auto"/>
        <w:rPr>
          <w:rStyle w:val="42"/>
          <w:rFonts w:asciiTheme="minorEastAsia" w:hAnsiTheme="minorEastAsia" w:eastAsiaTheme="minorEastAsia"/>
          <w:color w:val="auto"/>
          <w:sz w:val="28"/>
          <w:szCs w:val="28"/>
          <w:u w:val="none"/>
        </w:rPr>
      </w:pPr>
    </w:p>
    <w:p>
      <w:pPr>
        <w:spacing w:line="276" w:lineRule="auto"/>
        <w:rPr>
          <w:rStyle w:val="42"/>
          <w:rFonts w:asciiTheme="minorEastAsia" w:hAnsiTheme="minorEastAsia" w:eastAsiaTheme="minorEastAsia"/>
          <w:color w:val="auto"/>
          <w:sz w:val="28"/>
          <w:szCs w:val="28"/>
          <w:u w:val="none"/>
        </w:rPr>
      </w:pPr>
    </w:p>
    <w:p>
      <w:pPr>
        <w:spacing w:line="276" w:lineRule="auto"/>
        <w:rPr>
          <w:rStyle w:val="42"/>
          <w:rFonts w:asciiTheme="minorEastAsia" w:hAnsiTheme="minorEastAsia" w:eastAsiaTheme="minorEastAsia"/>
          <w:color w:val="auto"/>
          <w:sz w:val="28"/>
          <w:szCs w:val="28"/>
          <w:u w:val="none"/>
        </w:rPr>
      </w:pPr>
    </w:p>
    <w:p>
      <w:pPr>
        <w:spacing w:line="276" w:lineRule="auto"/>
        <w:rPr>
          <w:rStyle w:val="42"/>
          <w:rFonts w:asciiTheme="minorEastAsia" w:hAnsiTheme="minorEastAsia" w:eastAsiaTheme="minorEastAsia"/>
          <w:color w:val="auto"/>
          <w:sz w:val="28"/>
          <w:szCs w:val="28"/>
          <w:u w:val="none"/>
        </w:rPr>
      </w:pPr>
    </w:p>
    <w:p>
      <w:pPr>
        <w:spacing w:line="276" w:lineRule="auto"/>
        <w:rPr>
          <w:rStyle w:val="42"/>
          <w:rFonts w:asciiTheme="minorEastAsia" w:hAnsiTheme="minorEastAsia" w:eastAsiaTheme="minorEastAsia"/>
          <w:color w:val="auto"/>
          <w:sz w:val="28"/>
          <w:szCs w:val="28"/>
          <w:u w:val="none"/>
        </w:rPr>
      </w:pPr>
    </w:p>
    <w:p>
      <w:pPr>
        <w:spacing w:line="276" w:lineRule="auto"/>
        <w:rPr>
          <w:rStyle w:val="42"/>
          <w:rFonts w:asciiTheme="minorEastAsia" w:hAnsiTheme="minorEastAsia" w:eastAsiaTheme="minorEastAsia"/>
          <w:color w:val="auto"/>
          <w:sz w:val="28"/>
          <w:szCs w:val="28"/>
          <w:u w:val="none"/>
        </w:rPr>
      </w:pPr>
    </w:p>
    <w:p>
      <w:pPr>
        <w:spacing w:line="276" w:lineRule="auto"/>
        <w:rPr>
          <w:rStyle w:val="42"/>
          <w:rFonts w:asciiTheme="minorEastAsia" w:hAnsiTheme="minorEastAsia" w:eastAsiaTheme="minorEastAsia"/>
          <w:color w:val="auto"/>
          <w:sz w:val="28"/>
          <w:szCs w:val="28"/>
          <w:u w:val="none"/>
        </w:rPr>
      </w:pPr>
    </w:p>
    <w:p>
      <w:pPr>
        <w:spacing w:line="276" w:lineRule="auto"/>
        <w:rPr>
          <w:rStyle w:val="42"/>
          <w:rFonts w:asciiTheme="minorEastAsia" w:hAnsiTheme="minorEastAsia" w:eastAsiaTheme="minorEastAsia"/>
          <w:color w:val="auto"/>
          <w:sz w:val="28"/>
          <w:szCs w:val="28"/>
          <w:u w:val="none"/>
        </w:rPr>
      </w:pPr>
    </w:p>
    <w:p>
      <w:pPr>
        <w:spacing w:line="276" w:lineRule="auto"/>
        <w:rPr>
          <w:rStyle w:val="42"/>
          <w:rFonts w:asciiTheme="minorEastAsia" w:hAnsiTheme="minorEastAsia" w:eastAsiaTheme="minorEastAsia"/>
          <w:color w:val="auto"/>
          <w:sz w:val="28"/>
          <w:szCs w:val="28"/>
          <w:u w:val="none"/>
        </w:rPr>
      </w:pPr>
    </w:p>
    <w:p>
      <w:pPr>
        <w:spacing w:line="276" w:lineRule="auto"/>
        <w:rPr>
          <w:rStyle w:val="42"/>
          <w:rFonts w:asciiTheme="minorEastAsia" w:hAnsiTheme="minorEastAsia" w:eastAsiaTheme="minorEastAsia"/>
          <w:color w:val="auto"/>
          <w:sz w:val="28"/>
          <w:szCs w:val="28"/>
          <w:u w:val="none"/>
        </w:rPr>
      </w:pPr>
    </w:p>
    <w:p>
      <w:pPr>
        <w:pStyle w:val="3"/>
        <w:spacing w:before="0" w:after="0" w:line="360" w:lineRule="auto"/>
        <w:jc w:val="center"/>
        <w:rPr>
          <w:rFonts w:asciiTheme="minorEastAsia" w:hAnsiTheme="minorEastAsia" w:eastAsiaTheme="minorEastAsia"/>
          <w:b w:val="0"/>
          <w:bCs w:val="0"/>
          <w:sz w:val="30"/>
          <w:szCs w:val="30"/>
        </w:rPr>
      </w:pPr>
      <w:bookmarkStart w:id="21" w:name="_Toc303865000"/>
      <w:bookmarkStart w:id="22" w:name="_Toc1544818"/>
      <w:r>
        <w:rPr>
          <w:rFonts w:hint="eastAsia" w:asciiTheme="minorEastAsia" w:hAnsiTheme="minorEastAsia" w:eastAsiaTheme="minorEastAsia"/>
          <w:b w:val="0"/>
          <w:bCs w:val="0"/>
          <w:sz w:val="30"/>
          <w:szCs w:val="30"/>
        </w:rPr>
        <w:t>一、投标函</w:t>
      </w:r>
      <w:bookmarkEnd w:id="20"/>
      <w:bookmarkEnd w:id="21"/>
      <w:bookmarkEnd w:id="22"/>
    </w:p>
    <w:p>
      <w:pPr>
        <w:spacing w:line="320" w:lineRule="atLeas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衡阳华菱钢管/连轧管有限公司</w:t>
      </w:r>
    </w:p>
    <w:p>
      <w:pPr>
        <w:spacing w:line="440" w:lineRule="exact"/>
        <w:ind w:firstLine="702" w:firstLineChars="251"/>
        <w:rPr>
          <w:rFonts w:asciiTheme="minorEastAsia" w:hAnsiTheme="minorEastAsia" w:eastAsiaTheme="minorEastAsia"/>
          <w:sz w:val="28"/>
          <w:szCs w:val="28"/>
        </w:rPr>
      </w:pPr>
    </w:p>
    <w:p>
      <w:pPr>
        <w:spacing w:line="440" w:lineRule="exact"/>
        <w:ind w:firstLine="702" w:firstLineChars="251"/>
        <w:rPr>
          <w:rFonts w:asciiTheme="minorEastAsia" w:hAnsiTheme="minorEastAsia" w:eastAsiaTheme="minorEastAsia"/>
          <w:sz w:val="28"/>
          <w:szCs w:val="28"/>
        </w:rPr>
      </w:pPr>
      <w:r>
        <w:rPr>
          <w:rFonts w:asciiTheme="minorEastAsia" w:hAnsiTheme="minorEastAsia" w:eastAsiaTheme="minorEastAsia"/>
          <w:sz w:val="28"/>
          <w:szCs w:val="28"/>
        </w:rPr>
        <w:t>根据贵方</w:t>
      </w:r>
      <w:r>
        <w:rPr>
          <w:rFonts w:hint="eastAsia" w:asciiTheme="minorEastAsia" w:hAnsiTheme="minorEastAsia" w:eastAsiaTheme="minorEastAsia"/>
          <w:b/>
          <w:bCs/>
          <w:sz w:val="28"/>
          <w:szCs w:val="28"/>
          <w:u w:val="single"/>
        </w:rPr>
        <w:t>202</w:t>
      </w:r>
      <w:r>
        <w:rPr>
          <w:rFonts w:hint="eastAsia" w:asciiTheme="minorEastAsia" w:hAnsiTheme="minorEastAsia" w:eastAsiaTheme="minorEastAsia"/>
          <w:b/>
          <w:bCs/>
          <w:sz w:val="28"/>
          <w:szCs w:val="28"/>
          <w:u w:val="single"/>
          <w:lang w:val="en-US" w:eastAsia="zh-CN"/>
        </w:rPr>
        <w:t>4</w:t>
      </w:r>
      <w:r>
        <w:rPr>
          <w:rFonts w:hint="eastAsia" w:asciiTheme="minorEastAsia" w:hAnsiTheme="minorEastAsia" w:eastAsiaTheme="minorEastAsia"/>
          <w:b/>
          <w:bCs/>
          <w:sz w:val="28"/>
          <w:szCs w:val="28"/>
          <w:u w:val="single"/>
        </w:rPr>
        <w:t>年</w:t>
      </w:r>
      <w:r>
        <w:rPr>
          <w:rFonts w:hint="eastAsia" w:asciiTheme="minorEastAsia" w:hAnsiTheme="minorEastAsia" w:eastAsiaTheme="minorEastAsia"/>
          <w:b/>
          <w:bCs/>
          <w:sz w:val="28"/>
          <w:szCs w:val="28"/>
          <w:u w:val="single"/>
          <w:lang w:val="en-US" w:eastAsia="zh-CN"/>
        </w:rPr>
        <w:t>1-6</w:t>
      </w:r>
      <w:r>
        <w:rPr>
          <w:rFonts w:hint="eastAsia" w:asciiTheme="minorEastAsia" w:hAnsiTheme="minorEastAsia" w:eastAsiaTheme="minorEastAsia"/>
          <w:b/>
          <w:bCs/>
          <w:sz w:val="28"/>
          <w:szCs w:val="28"/>
          <w:u w:val="single"/>
        </w:rPr>
        <w:t>月炼钢炼铁用</w:t>
      </w:r>
      <w:r>
        <w:rPr>
          <w:rFonts w:hint="eastAsia" w:ascii="宋体" w:hAnsi="宋体" w:cs="宋体"/>
          <w:b/>
          <w:bCs/>
          <w:sz w:val="28"/>
          <w:szCs w:val="28"/>
          <w:u w:val="single"/>
        </w:rPr>
        <w:t>保温覆盖剂（碳化稻壳型）</w:t>
      </w:r>
      <w:r>
        <w:rPr>
          <w:rFonts w:hint="eastAsia" w:asciiTheme="minorEastAsia" w:hAnsiTheme="minorEastAsia" w:eastAsiaTheme="minorEastAsia"/>
          <w:b/>
          <w:bCs/>
          <w:sz w:val="28"/>
          <w:szCs w:val="28"/>
          <w:u w:val="single"/>
        </w:rPr>
        <w:t>采购</w:t>
      </w:r>
      <w:r>
        <w:rPr>
          <w:rFonts w:asciiTheme="minorEastAsia" w:hAnsiTheme="minorEastAsia" w:eastAsiaTheme="minorEastAsia"/>
          <w:sz w:val="28"/>
          <w:szCs w:val="28"/>
        </w:rPr>
        <w:t>项目的</w:t>
      </w:r>
      <w:r>
        <w:rPr>
          <w:rFonts w:hint="eastAsia" w:asciiTheme="minorEastAsia" w:hAnsiTheme="minorEastAsia" w:eastAsiaTheme="minorEastAsia"/>
          <w:sz w:val="28"/>
          <w:szCs w:val="28"/>
        </w:rPr>
        <w:t>招标文件，项目</w:t>
      </w:r>
      <w:r>
        <w:rPr>
          <w:rFonts w:asciiTheme="minorEastAsia" w:hAnsiTheme="minorEastAsia" w:eastAsiaTheme="minorEastAsia"/>
          <w:sz w:val="28"/>
          <w:szCs w:val="28"/>
        </w:rPr>
        <w:t>编号</w:t>
      </w:r>
      <w:r>
        <w:rPr>
          <w:rFonts w:hint="eastAsia" w:asciiTheme="minorEastAsia" w:hAnsiTheme="minorEastAsia" w:eastAsiaTheme="minorEastAsia"/>
          <w:b/>
          <w:bCs/>
          <w:sz w:val="28"/>
          <w:szCs w:val="28"/>
          <w:u w:val="single"/>
        </w:rPr>
        <w:t>HGJY-G2023194</w:t>
      </w:r>
      <w:r>
        <w:rPr>
          <w:rFonts w:asciiTheme="minorEastAsia" w:hAnsiTheme="minorEastAsia" w:eastAsiaTheme="minorEastAsia"/>
          <w:sz w:val="28"/>
          <w:szCs w:val="28"/>
        </w:rPr>
        <w:t>，</w:t>
      </w:r>
      <w:r>
        <w:rPr>
          <w:rFonts w:hint="eastAsia" w:asciiTheme="minorEastAsia" w:hAnsiTheme="minorEastAsia" w:eastAsiaTheme="minorEastAsia"/>
          <w:sz w:val="28"/>
          <w:szCs w:val="28"/>
        </w:rPr>
        <w:t>我方进行了认真研究，并对采购货物使用地点及工况环境进行实地了解，在充分研究上述招标文件的投标人须知、评标办法、技术规格书、合同条款及格式、投标文件范本等有关文件后，据此函，我方郑重承诺声明如下：</w:t>
      </w:r>
    </w:p>
    <w:p>
      <w:pPr>
        <w:numPr>
          <w:ilvl w:val="1"/>
          <w:numId w:val="17"/>
        </w:numPr>
        <w:tabs>
          <w:tab w:val="left" w:pos="0"/>
          <w:tab w:val="clear" w:pos="720"/>
        </w:tabs>
        <w:spacing w:line="440" w:lineRule="exact"/>
        <w:ind w:left="0" w:firstLine="0"/>
        <w:rPr>
          <w:rFonts w:asciiTheme="minorEastAsia" w:hAnsiTheme="minorEastAsia" w:eastAsiaTheme="minorEastAsia"/>
          <w:sz w:val="28"/>
          <w:szCs w:val="28"/>
        </w:rPr>
      </w:pPr>
      <w:r>
        <w:rPr>
          <w:rFonts w:hint="eastAsia" w:asciiTheme="minorEastAsia" w:hAnsiTheme="minorEastAsia" w:eastAsiaTheme="minorEastAsia"/>
          <w:sz w:val="28"/>
          <w:szCs w:val="28"/>
        </w:rPr>
        <w:t>我方已详细审阅招标文件各组成部分，认可贵方招标文件及相应文件的各项规定和要求且积极愿意参加上述招标项目投标。</w:t>
      </w:r>
    </w:p>
    <w:p>
      <w:pPr>
        <w:numPr>
          <w:ilvl w:val="1"/>
          <w:numId w:val="17"/>
        </w:numPr>
        <w:spacing w:line="440" w:lineRule="exact"/>
        <w:rPr>
          <w:rFonts w:asciiTheme="minorEastAsia" w:hAnsiTheme="minorEastAsia" w:eastAsiaTheme="minorEastAsia"/>
          <w:sz w:val="28"/>
          <w:szCs w:val="28"/>
        </w:rPr>
      </w:pPr>
      <w:r>
        <w:rPr>
          <w:rFonts w:asciiTheme="minorEastAsia" w:hAnsiTheme="minorEastAsia" w:eastAsiaTheme="minorEastAsia"/>
          <w:sz w:val="28"/>
          <w:szCs w:val="28"/>
        </w:rPr>
        <w:t>我</w:t>
      </w:r>
      <w:r>
        <w:rPr>
          <w:rFonts w:hint="eastAsia" w:asciiTheme="minorEastAsia" w:hAnsiTheme="minorEastAsia" w:eastAsiaTheme="minorEastAsia"/>
          <w:sz w:val="28"/>
          <w:szCs w:val="28"/>
        </w:rPr>
        <w:t>方将按</w:t>
      </w:r>
      <w:r>
        <w:rPr>
          <w:rFonts w:asciiTheme="minorEastAsia" w:hAnsiTheme="minorEastAsia" w:eastAsiaTheme="minorEastAsia"/>
          <w:sz w:val="28"/>
          <w:szCs w:val="28"/>
        </w:rPr>
        <w:t>招标文件</w:t>
      </w:r>
      <w:r>
        <w:rPr>
          <w:rFonts w:hint="eastAsia" w:asciiTheme="minorEastAsia" w:hAnsiTheme="minorEastAsia" w:eastAsiaTheme="minorEastAsia"/>
          <w:sz w:val="28"/>
          <w:szCs w:val="28"/>
        </w:rPr>
        <w:t>的</w:t>
      </w:r>
      <w:r>
        <w:rPr>
          <w:rFonts w:asciiTheme="minorEastAsia" w:hAnsiTheme="minorEastAsia" w:eastAsiaTheme="minorEastAsia"/>
          <w:sz w:val="28"/>
          <w:szCs w:val="28"/>
        </w:rPr>
        <w:t>规定</w:t>
      </w:r>
      <w:r>
        <w:rPr>
          <w:rFonts w:hint="eastAsia" w:asciiTheme="minorEastAsia" w:hAnsiTheme="minorEastAsia" w:eastAsiaTheme="minorEastAsia"/>
          <w:sz w:val="28"/>
          <w:szCs w:val="28"/>
        </w:rPr>
        <w:t>履行合同</w:t>
      </w:r>
      <w:r>
        <w:rPr>
          <w:rFonts w:asciiTheme="minorEastAsia" w:hAnsiTheme="minorEastAsia" w:eastAsiaTheme="minorEastAsia"/>
          <w:sz w:val="28"/>
          <w:szCs w:val="28"/>
        </w:rPr>
        <w:t>责任</w:t>
      </w:r>
      <w:r>
        <w:rPr>
          <w:rFonts w:hint="eastAsia" w:asciiTheme="minorEastAsia" w:hAnsiTheme="minorEastAsia" w:eastAsiaTheme="minorEastAsia"/>
          <w:sz w:val="28"/>
          <w:szCs w:val="28"/>
        </w:rPr>
        <w:t>和</w:t>
      </w:r>
      <w:r>
        <w:rPr>
          <w:rFonts w:asciiTheme="minorEastAsia" w:hAnsiTheme="minorEastAsia" w:eastAsiaTheme="minorEastAsia"/>
          <w:sz w:val="28"/>
          <w:szCs w:val="28"/>
        </w:rPr>
        <w:t>义务</w:t>
      </w:r>
      <w:r>
        <w:rPr>
          <w:rFonts w:hint="eastAsia" w:asciiTheme="minorEastAsia" w:hAnsiTheme="minorEastAsia" w:eastAsiaTheme="minorEastAsia"/>
          <w:sz w:val="28"/>
          <w:szCs w:val="28"/>
        </w:rPr>
        <w:t>。</w:t>
      </w:r>
    </w:p>
    <w:p>
      <w:pPr>
        <w:numPr>
          <w:ilvl w:val="1"/>
          <w:numId w:val="17"/>
        </w:numPr>
        <w:tabs>
          <w:tab w:val="left" w:pos="0"/>
          <w:tab w:val="clear" w:pos="720"/>
        </w:tabs>
        <w:spacing w:line="440" w:lineRule="exact"/>
        <w:ind w:left="0" w:firstLine="0"/>
        <w:rPr>
          <w:rFonts w:asciiTheme="minorEastAsia" w:hAnsiTheme="minorEastAsia" w:eastAsiaTheme="minorEastAsia"/>
          <w:sz w:val="28"/>
          <w:szCs w:val="28"/>
        </w:rPr>
      </w:pPr>
      <w:r>
        <w:rPr>
          <w:rFonts w:hint="eastAsia" w:asciiTheme="minorEastAsia" w:hAnsiTheme="minorEastAsia" w:eastAsiaTheme="minorEastAsia"/>
          <w:sz w:val="28"/>
          <w:szCs w:val="28"/>
        </w:rPr>
        <w:t>我方承诺投标文件中所有关于投标人资格文件材料证明、价格、生产厂家等填报内容均真实、准确。如发现与事实不符，我方承担由此产生的一切后果。</w:t>
      </w:r>
    </w:p>
    <w:p>
      <w:pPr>
        <w:numPr>
          <w:ilvl w:val="1"/>
          <w:numId w:val="17"/>
        </w:numPr>
        <w:tabs>
          <w:tab w:val="left" w:pos="0"/>
          <w:tab w:val="clear" w:pos="720"/>
        </w:tabs>
        <w:spacing w:line="440" w:lineRule="exact"/>
        <w:ind w:left="0" w:firstLine="0"/>
        <w:rPr>
          <w:rFonts w:asciiTheme="minorEastAsia" w:hAnsiTheme="minorEastAsia" w:eastAsiaTheme="minorEastAsia"/>
          <w:sz w:val="28"/>
          <w:szCs w:val="28"/>
        </w:rPr>
      </w:pPr>
      <w:r>
        <w:rPr>
          <w:rFonts w:asciiTheme="minorEastAsia" w:hAnsiTheme="minorEastAsia" w:eastAsiaTheme="minorEastAsia"/>
          <w:sz w:val="28"/>
          <w:szCs w:val="28"/>
        </w:rPr>
        <w:t>我们同意在投标须知规定的开标日期起遵循本投标文件，并在投标人须知规定的投标有效期期满之前均具约束力，并准备随时被你方接受</w:t>
      </w:r>
      <w:r>
        <w:rPr>
          <w:rFonts w:hint="eastAsia" w:asciiTheme="minorEastAsia" w:hAnsiTheme="minorEastAsia" w:eastAsiaTheme="minorEastAsia"/>
          <w:sz w:val="28"/>
          <w:szCs w:val="28"/>
        </w:rPr>
        <w:t>。</w:t>
      </w:r>
    </w:p>
    <w:p>
      <w:pPr>
        <w:numPr>
          <w:ilvl w:val="1"/>
          <w:numId w:val="17"/>
        </w:numPr>
        <w:tabs>
          <w:tab w:val="left" w:pos="0"/>
          <w:tab w:val="clear" w:pos="720"/>
        </w:tabs>
        <w:spacing w:line="440" w:lineRule="exact"/>
        <w:ind w:left="0" w:firstLine="0"/>
        <w:rPr>
          <w:rFonts w:asciiTheme="minorEastAsia" w:hAnsiTheme="minorEastAsia" w:eastAsiaTheme="minorEastAsia"/>
          <w:sz w:val="28"/>
          <w:szCs w:val="28"/>
        </w:rPr>
      </w:pPr>
      <w:r>
        <w:rPr>
          <w:rFonts w:asciiTheme="minorEastAsia" w:hAnsiTheme="minorEastAsia" w:eastAsiaTheme="minorEastAsia"/>
          <w:sz w:val="28"/>
          <w:szCs w:val="28"/>
        </w:rPr>
        <w:t>如果我</w:t>
      </w:r>
      <w:r>
        <w:rPr>
          <w:rFonts w:hint="eastAsia" w:asciiTheme="minorEastAsia" w:hAnsiTheme="minorEastAsia" w:eastAsiaTheme="minorEastAsia"/>
          <w:sz w:val="28"/>
          <w:szCs w:val="28"/>
        </w:rPr>
        <w:t>方</w:t>
      </w:r>
      <w:r>
        <w:rPr>
          <w:rFonts w:asciiTheme="minorEastAsia" w:hAnsiTheme="minorEastAsia" w:eastAsiaTheme="minorEastAsia"/>
          <w:sz w:val="28"/>
          <w:szCs w:val="28"/>
        </w:rPr>
        <w:t>在规定的投标有效期内撤回投标，投标保证金可被贵方没收</w:t>
      </w:r>
      <w:r>
        <w:rPr>
          <w:rFonts w:hint="eastAsia" w:asciiTheme="minorEastAsia" w:hAnsiTheme="minorEastAsia" w:eastAsiaTheme="minorEastAsia"/>
          <w:sz w:val="28"/>
          <w:szCs w:val="28"/>
        </w:rPr>
        <w:t>。</w:t>
      </w:r>
    </w:p>
    <w:p>
      <w:pPr>
        <w:numPr>
          <w:ilvl w:val="1"/>
          <w:numId w:val="17"/>
        </w:numPr>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我方愿意</w:t>
      </w:r>
      <w:r>
        <w:rPr>
          <w:rFonts w:asciiTheme="minorEastAsia" w:hAnsiTheme="minorEastAsia" w:eastAsiaTheme="minorEastAsia"/>
          <w:sz w:val="28"/>
          <w:szCs w:val="28"/>
        </w:rPr>
        <w:t>提供与本投标</w:t>
      </w:r>
      <w:r>
        <w:rPr>
          <w:rFonts w:hint="eastAsia" w:asciiTheme="minorEastAsia" w:hAnsiTheme="minorEastAsia" w:eastAsiaTheme="minorEastAsia"/>
          <w:sz w:val="28"/>
          <w:szCs w:val="28"/>
        </w:rPr>
        <w:t>项目</w:t>
      </w:r>
      <w:r>
        <w:rPr>
          <w:rFonts w:asciiTheme="minorEastAsia" w:hAnsiTheme="minorEastAsia" w:eastAsiaTheme="minorEastAsia"/>
          <w:sz w:val="28"/>
          <w:szCs w:val="28"/>
        </w:rPr>
        <w:t>有关的任何证据或资料</w:t>
      </w:r>
      <w:r>
        <w:rPr>
          <w:rFonts w:hint="eastAsia" w:asciiTheme="minorEastAsia" w:hAnsiTheme="minorEastAsia" w:eastAsiaTheme="minorEastAsia"/>
          <w:sz w:val="28"/>
          <w:szCs w:val="28"/>
        </w:rPr>
        <w:t>。</w:t>
      </w:r>
    </w:p>
    <w:p>
      <w:pPr>
        <w:numPr>
          <w:ilvl w:val="1"/>
          <w:numId w:val="17"/>
        </w:numPr>
        <w:tabs>
          <w:tab w:val="left" w:pos="0"/>
          <w:tab w:val="clear" w:pos="720"/>
        </w:tabs>
        <w:spacing w:line="440" w:lineRule="exact"/>
        <w:ind w:left="0" w:firstLine="0"/>
        <w:rPr>
          <w:rFonts w:asciiTheme="minorEastAsia" w:hAnsiTheme="minorEastAsia" w:eastAsiaTheme="minorEastAsia"/>
          <w:sz w:val="28"/>
          <w:szCs w:val="28"/>
        </w:rPr>
      </w:pPr>
      <w:r>
        <w:rPr>
          <w:rFonts w:asciiTheme="minorEastAsia" w:hAnsiTheme="minorEastAsia" w:eastAsiaTheme="minorEastAsia"/>
          <w:sz w:val="28"/>
          <w:szCs w:val="28"/>
        </w:rPr>
        <w:t>我</w:t>
      </w:r>
      <w:r>
        <w:rPr>
          <w:rFonts w:hint="eastAsia" w:asciiTheme="minorEastAsia" w:hAnsiTheme="minorEastAsia" w:eastAsiaTheme="minorEastAsia"/>
          <w:sz w:val="28"/>
          <w:szCs w:val="28"/>
        </w:rPr>
        <w:t>方</w:t>
      </w:r>
      <w:r>
        <w:rPr>
          <w:rFonts w:asciiTheme="minorEastAsia" w:hAnsiTheme="minorEastAsia" w:eastAsiaTheme="minorEastAsia"/>
          <w:sz w:val="28"/>
          <w:szCs w:val="28"/>
        </w:rPr>
        <w:t>完全理解贵方不一定要接受最低报价的投标</w:t>
      </w:r>
      <w:r>
        <w:rPr>
          <w:rFonts w:hint="eastAsia" w:asciiTheme="minorEastAsia" w:hAnsiTheme="minorEastAsia" w:eastAsiaTheme="minorEastAsia"/>
          <w:sz w:val="28"/>
          <w:szCs w:val="28"/>
        </w:rPr>
        <w:t>或对评标结果没有解释义务。</w:t>
      </w:r>
    </w:p>
    <w:p>
      <w:pPr>
        <w:numPr>
          <w:ilvl w:val="1"/>
          <w:numId w:val="17"/>
        </w:numPr>
        <w:tabs>
          <w:tab w:val="left" w:pos="0"/>
          <w:tab w:val="clear" w:pos="720"/>
        </w:tabs>
        <w:spacing w:line="440" w:lineRule="exact"/>
        <w:ind w:left="0" w:firstLine="0"/>
        <w:rPr>
          <w:rFonts w:asciiTheme="minorEastAsia" w:hAnsiTheme="minorEastAsia" w:eastAsiaTheme="minorEastAsia"/>
          <w:sz w:val="28"/>
          <w:szCs w:val="28"/>
        </w:rPr>
      </w:pPr>
      <w:r>
        <w:rPr>
          <w:rFonts w:hint="eastAsia" w:asciiTheme="minorEastAsia" w:hAnsiTheme="minorEastAsia" w:eastAsiaTheme="minorEastAsia"/>
          <w:sz w:val="28"/>
          <w:szCs w:val="28"/>
        </w:rPr>
        <w:t>如果我方中标，除另外达成协议并生效，贵方的中标通知书和</w:t>
      </w:r>
      <w:r>
        <w:rPr>
          <w:rFonts w:asciiTheme="minorEastAsia" w:hAnsiTheme="minorEastAsia" w:eastAsiaTheme="minorEastAsia"/>
          <w:sz w:val="28"/>
          <w:szCs w:val="28"/>
        </w:rPr>
        <w:t>本</w:t>
      </w:r>
      <w:r>
        <w:rPr>
          <w:rFonts w:hint="eastAsia" w:asciiTheme="minorEastAsia" w:hAnsiTheme="minorEastAsia" w:eastAsiaTheme="minorEastAsia"/>
          <w:sz w:val="28"/>
          <w:szCs w:val="28"/>
        </w:rPr>
        <w:t>项目</w:t>
      </w:r>
      <w:r>
        <w:rPr>
          <w:rFonts w:asciiTheme="minorEastAsia" w:hAnsiTheme="minorEastAsia" w:eastAsiaTheme="minorEastAsia"/>
          <w:sz w:val="28"/>
          <w:szCs w:val="28"/>
        </w:rPr>
        <w:t>投标文件将构成约束我们双方的合同。</w:t>
      </w:r>
      <w:r>
        <w:rPr>
          <w:rFonts w:hint="eastAsia" w:asciiTheme="minorEastAsia" w:hAnsiTheme="minorEastAsia" w:eastAsiaTheme="minorEastAsia"/>
          <w:sz w:val="28"/>
          <w:szCs w:val="28"/>
        </w:rPr>
        <w:t>我方将在规定时间内交纳中标服务费并完成同贵方签订合同事宜。</w:t>
      </w:r>
    </w:p>
    <w:p>
      <w:pPr>
        <w:spacing w:line="440" w:lineRule="exact"/>
        <w:ind w:left="1275" w:hanging="850"/>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ind w:firstLine="560" w:firstLineChars="20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投标人： （单位盖公章）</w:t>
      </w:r>
    </w:p>
    <w:p>
      <w:pPr>
        <w:spacing w:line="360" w:lineRule="auto"/>
        <w:ind w:firstLine="560" w:firstLineChars="20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法定代表人或委托代理人： （签字或盖章）</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  期：  年  月  日</w:t>
      </w:r>
      <w:bookmarkStart w:id="23" w:name="_Toc300678569"/>
    </w:p>
    <w:p>
      <w:pPr>
        <w:widowControl/>
        <w:jc w:val="left"/>
        <w:rPr>
          <w:rFonts w:asciiTheme="minorEastAsia" w:hAnsiTheme="minorEastAsia" w:eastAsiaTheme="minorEastAsia"/>
          <w:sz w:val="28"/>
          <w:szCs w:val="28"/>
        </w:rPr>
      </w:pPr>
      <w:bookmarkStart w:id="24" w:name="_Toc1544819"/>
      <w:r>
        <w:rPr>
          <w:rFonts w:asciiTheme="minorEastAsia" w:hAnsiTheme="minorEastAsia" w:eastAsiaTheme="minorEastAsia"/>
          <w:b/>
          <w:bCs/>
          <w:sz w:val="28"/>
          <w:szCs w:val="28"/>
        </w:rPr>
        <w:br w:type="page"/>
      </w:r>
    </w:p>
    <w:p>
      <w:pPr>
        <w:pStyle w:val="3"/>
        <w:spacing w:before="0" w:after="0" w:line="360" w:lineRule="auto"/>
        <w:jc w:val="center"/>
        <w:rPr>
          <w:rFonts w:asciiTheme="minorEastAsia" w:hAnsiTheme="minorEastAsia" w:eastAsiaTheme="minorEastAsia"/>
          <w:b w:val="0"/>
          <w:bCs w:val="0"/>
          <w:sz w:val="28"/>
          <w:szCs w:val="28"/>
        </w:rPr>
      </w:pPr>
      <w:r>
        <w:rPr>
          <w:rFonts w:hint="eastAsia" w:asciiTheme="minorEastAsia" w:hAnsiTheme="minorEastAsia" w:eastAsiaTheme="minorEastAsia"/>
          <w:b w:val="0"/>
          <w:bCs w:val="0"/>
          <w:sz w:val="28"/>
          <w:szCs w:val="28"/>
        </w:rPr>
        <w:t>二、营业执照</w:t>
      </w:r>
      <w:r>
        <w:rPr>
          <w:rFonts w:hint="eastAsia" w:asciiTheme="minorEastAsia" w:hAnsiTheme="minorEastAsia" w:eastAsiaTheme="minorEastAsia"/>
          <w:sz w:val="28"/>
          <w:szCs w:val="28"/>
        </w:rPr>
        <w:t>（扫描件）</w:t>
      </w:r>
      <w:bookmarkEnd w:id="23"/>
      <w:r>
        <w:rPr>
          <w:rFonts w:asciiTheme="minorEastAsia" w:hAnsiTheme="minorEastAsia" w:eastAsiaTheme="minorEastAsia"/>
          <w:sz w:val="28"/>
          <w:szCs w:val="28"/>
        </w:rPr>
        <w:br w:type="page"/>
      </w:r>
      <w:bookmarkStart w:id="25" w:name="_Toc300678570"/>
      <w:bookmarkStart w:id="26" w:name="_Toc1544820"/>
      <w:bookmarkStart w:id="27" w:name="_Toc303865001"/>
      <w:bookmarkStart w:id="28" w:name="_Toc526861363"/>
      <w:r>
        <w:rPr>
          <w:rFonts w:hint="eastAsia" w:asciiTheme="minorEastAsia" w:hAnsiTheme="minorEastAsia" w:eastAsiaTheme="minorEastAsia"/>
          <w:b w:val="0"/>
          <w:bCs w:val="0"/>
          <w:sz w:val="28"/>
          <w:szCs w:val="28"/>
        </w:rPr>
        <w:t>三、法定代表人证明</w:t>
      </w:r>
      <w:bookmarkEnd w:id="24"/>
      <w:bookmarkEnd w:id="25"/>
      <w:bookmarkEnd w:id="26"/>
      <w:bookmarkEnd w:id="27"/>
      <w:bookmarkEnd w:id="28"/>
      <w:r>
        <w:rPr>
          <w:rFonts w:hint="eastAsia" w:asciiTheme="minorEastAsia" w:hAnsiTheme="minorEastAsia" w:eastAsiaTheme="minorEastAsia"/>
          <w:b w:val="0"/>
          <w:bCs w:val="0"/>
          <w:sz w:val="28"/>
          <w:szCs w:val="28"/>
        </w:rPr>
        <w:t>书</w:t>
      </w:r>
    </w:p>
    <w:p>
      <w:pPr>
        <w:widowControl/>
        <w:spacing w:line="400" w:lineRule="atLeast"/>
        <w:rPr>
          <w:rFonts w:asciiTheme="minorEastAsia" w:hAnsiTheme="minorEastAsia" w:eastAsiaTheme="minorEastAsia"/>
          <w:kern w:val="0"/>
          <w:sz w:val="28"/>
          <w:szCs w:val="28"/>
        </w:rPr>
      </w:pPr>
    </w:p>
    <w:p>
      <w:pPr>
        <w:spacing w:line="420" w:lineRule="exact"/>
        <w:rPr>
          <w:rFonts w:asciiTheme="minorEastAsia" w:hAnsiTheme="minorEastAsia" w:eastAsiaTheme="minorEastAsia"/>
          <w:sz w:val="28"/>
          <w:szCs w:val="28"/>
          <w:u w:val="single"/>
        </w:rPr>
      </w:pPr>
      <w:bookmarkStart w:id="29" w:name="_Toc300678571"/>
      <w:r>
        <w:rPr>
          <w:rFonts w:hint="eastAsia" w:asciiTheme="minorEastAsia" w:hAnsiTheme="minorEastAsia" w:eastAsiaTheme="minorEastAsia"/>
          <w:sz w:val="28"/>
          <w:szCs w:val="28"/>
        </w:rPr>
        <w:t>单位名称：</w:t>
      </w:r>
    </w:p>
    <w:p>
      <w:pPr>
        <w:spacing w:line="42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单位性质：</w:t>
      </w:r>
    </w:p>
    <w:p>
      <w:pPr>
        <w:spacing w:line="42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地址：</w:t>
      </w:r>
    </w:p>
    <w:p>
      <w:pPr>
        <w:spacing w:line="42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成立时间： 年  月  日</w:t>
      </w:r>
    </w:p>
    <w:p>
      <w:pPr>
        <w:spacing w:line="4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姓名：</w:t>
      </w:r>
    </w:p>
    <w:p>
      <w:pPr>
        <w:spacing w:line="4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性别：</w:t>
      </w:r>
    </w:p>
    <w:p>
      <w:pPr>
        <w:spacing w:line="4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年龄：</w:t>
      </w:r>
    </w:p>
    <w:p>
      <w:pPr>
        <w:spacing w:line="42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职务：</w:t>
      </w:r>
    </w:p>
    <w:p>
      <w:pPr>
        <w:spacing w:line="360" w:lineRule="atLeast"/>
        <w:jc w:val="left"/>
        <w:rPr>
          <w:rFonts w:asciiTheme="minorEastAsia" w:hAnsiTheme="minorEastAsia" w:eastAsiaTheme="minorEastAsia"/>
          <w:sz w:val="28"/>
          <w:szCs w:val="28"/>
        </w:rPr>
      </w:pPr>
    </w:p>
    <w:p>
      <w:pPr>
        <w:spacing w:line="360" w:lineRule="atLeast"/>
        <w:jc w:val="left"/>
        <w:rPr>
          <w:rFonts w:asciiTheme="minorEastAsia" w:hAnsiTheme="minorEastAsia" w:eastAsiaTheme="minorEastAsia"/>
          <w:sz w:val="28"/>
          <w:szCs w:val="28"/>
        </w:rPr>
      </w:pPr>
      <w:r>
        <w:rPr>
          <w:rFonts w:hint="eastAsia" w:asciiTheme="minorEastAsia" w:hAnsiTheme="minorEastAsia" w:eastAsiaTheme="minorEastAsia"/>
          <w:sz w:val="28"/>
          <w:szCs w:val="28"/>
        </w:rPr>
        <w:t>系</w:t>
      </w:r>
      <w:r>
        <w:rPr>
          <w:rFonts w:hint="eastAsia" w:asciiTheme="minorEastAsia" w:hAnsiTheme="minorEastAsia" w:eastAsiaTheme="minorEastAsia"/>
          <w:sz w:val="28"/>
          <w:szCs w:val="28"/>
          <w:u w:val="single"/>
        </w:rPr>
        <w:t>（投标单位名称）</w:t>
      </w:r>
      <w:r>
        <w:rPr>
          <w:rFonts w:hint="eastAsia" w:asciiTheme="minorEastAsia" w:hAnsiTheme="minorEastAsia" w:eastAsiaTheme="minorEastAsia"/>
          <w:sz w:val="28"/>
          <w:szCs w:val="28"/>
        </w:rPr>
        <w:t>的法定代表人。为本次采购项目签署上述投标文件、进行合同谈判、签署合同和处理与之有关的一切事务。</w:t>
      </w:r>
    </w:p>
    <w:p>
      <w:pPr>
        <w:spacing w:line="360" w:lineRule="atLeast"/>
        <w:jc w:val="left"/>
        <w:rPr>
          <w:rFonts w:asciiTheme="minorEastAsia" w:hAnsiTheme="minorEastAsia" w:eastAsiaTheme="minorEastAsia"/>
          <w:sz w:val="28"/>
          <w:szCs w:val="28"/>
        </w:rPr>
      </w:pPr>
    </w:p>
    <w:p>
      <w:pPr>
        <w:spacing w:line="360" w:lineRule="atLeast"/>
        <w:jc w:val="left"/>
        <w:rPr>
          <w:rFonts w:asciiTheme="minorEastAsia" w:hAnsiTheme="minorEastAsia" w:eastAsiaTheme="minorEastAsia"/>
          <w:sz w:val="28"/>
          <w:szCs w:val="28"/>
        </w:rPr>
      </w:pPr>
      <w:r>
        <w:rPr>
          <w:rFonts w:hint="eastAsia" w:asciiTheme="minorEastAsia" w:hAnsiTheme="minorEastAsia" w:eastAsiaTheme="minorEastAsia"/>
          <w:sz w:val="28"/>
          <w:szCs w:val="28"/>
        </w:rPr>
        <w:t>特此证明。</w:t>
      </w:r>
    </w:p>
    <w:p>
      <w:pPr>
        <w:spacing w:line="360" w:lineRule="atLeast"/>
        <w:ind w:firstLine="480"/>
        <w:rPr>
          <w:rFonts w:asciiTheme="minorEastAsia" w:hAnsiTheme="minorEastAsia" w:eastAsiaTheme="minorEastAsia"/>
          <w:b/>
          <w:sz w:val="28"/>
          <w:szCs w:val="28"/>
        </w:rPr>
      </w:pPr>
    </w:p>
    <w:p>
      <w:pPr>
        <w:spacing w:line="360" w:lineRule="atLeast"/>
        <w:ind w:firstLine="140" w:firstLineChars="5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投标人：（单位盖公章）</w:t>
      </w:r>
    </w:p>
    <w:p>
      <w:pPr>
        <w:spacing w:line="360" w:lineRule="atLeast"/>
        <w:jc w:val="left"/>
        <w:rPr>
          <w:rFonts w:asciiTheme="minorEastAsia" w:hAnsiTheme="minorEastAsia" w:eastAsiaTheme="minorEastAsia"/>
          <w:sz w:val="28"/>
          <w:szCs w:val="28"/>
        </w:rPr>
      </w:pPr>
    </w:p>
    <w:p>
      <w:pPr>
        <w:spacing w:line="360" w:lineRule="auto"/>
        <w:ind w:firstLine="140" w:firstLineChars="50"/>
        <w:rPr>
          <w:rFonts w:asciiTheme="minorEastAsia" w:hAnsiTheme="minorEastAsia" w:eastAsiaTheme="minorEastAsia"/>
          <w:sz w:val="28"/>
          <w:szCs w:val="28"/>
        </w:rPr>
      </w:pPr>
      <w:r>
        <w:rPr>
          <w:rFonts w:hint="eastAsia" w:asciiTheme="minorEastAsia" w:hAnsiTheme="minorEastAsia" w:eastAsiaTheme="minorEastAsia"/>
          <w:sz w:val="28"/>
          <w:szCs w:val="28"/>
        </w:rPr>
        <w:t>日  期：  年  月  日</w:t>
      </w:r>
    </w:p>
    <w:p>
      <w:pPr>
        <w:widowControl/>
        <w:topLinePunct/>
        <w:spacing w:line="440" w:lineRule="atLeast"/>
        <w:rPr>
          <w:rFonts w:asciiTheme="minorEastAsia" w:hAnsiTheme="minorEastAsia" w:eastAsiaTheme="minorEastAsia"/>
          <w:kern w:val="0"/>
          <w:sz w:val="28"/>
          <w:szCs w:val="28"/>
        </w:rPr>
      </w:pPr>
    </w:p>
    <w:p>
      <w:pPr>
        <w:widowControl/>
        <w:topLinePunct/>
        <w:spacing w:line="440" w:lineRule="atLeast"/>
        <w:rPr>
          <w:rFonts w:asciiTheme="minorEastAsia" w:hAnsiTheme="minorEastAsia" w:eastAsiaTheme="minorEastAsia"/>
          <w:b/>
          <w:bCs/>
          <w:sz w:val="28"/>
          <w:szCs w:val="28"/>
        </w:rPr>
      </w:pPr>
      <w:r>
        <w:rPr>
          <w:rFonts w:hint="eastAsia" w:asciiTheme="minorEastAsia" w:hAnsiTheme="minorEastAsia" w:eastAsiaTheme="minorEastAsia"/>
          <w:b/>
          <w:bCs/>
          <w:kern w:val="0"/>
          <w:sz w:val="28"/>
          <w:szCs w:val="28"/>
        </w:rPr>
        <w:t>附：</w:t>
      </w:r>
      <w:r>
        <w:rPr>
          <w:rFonts w:hint="eastAsia" w:asciiTheme="minorEastAsia" w:hAnsiTheme="minorEastAsia" w:eastAsiaTheme="minorEastAsia"/>
          <w:b/>
          <w:bCs/>
          <w:sz w:val="28"/>
          <w:szCs w:val="28"/>
        </w:rPr>
        <w:t>法定代表人身份证扫描件</w:t>
      </w:r>
    </w:p>
    <w:tbl>
      <w:tblPr>
        <w:tblStyle w:val="37"/>
        <w:tblW w:w="9402"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848"/>
        <w:gridCol w:w="4554"/>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3240" w:hRule="atLeast"/>
        </w:trPr>
        <w:tc>
          <w:tcPr>
            <w:tcW w:w="4848" w:type="dxa"/>
            <w:tcBorders>
              <w:top w:val="single" w:color="auto" w:sz="12" w:space="0"/>
              <w:bottom w:val="single" w:color="auto" w:sz="12" w:space="0"/>
            </w:tcBorders>
            <w:vAlign w:val="center"/>
          </w:tcPr>
          <w:p>
            <w:pPr>
              <w:snapToGrid w:val="0"/>
              <w:spacing w:line="360" w:lineRule="auto"/>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法定代表人二代身份证正面</w:t>
            </w:r>
          </w:p>
        </w:tc>
        <w:tc>
          <w:tcPr>
            <w:tcW w:w="4554" w:type="dxa"/>
            <w:tcBorders>
              <w:top w:val="single" w:color="auto" w:sz="12" w:space="0"/>
              <w:bottom w:val="single" w:color="auto" w:sz="12" w:space="0"/>
            </w:tcBorders>
            <w:vAlign w:val="center"/>
          </w:tcPr>
          <w:p>
            <w:pPr>
              <w:snapToGrid w:val="0"/>
              <w:spacing w:line="360" w:lineRule="auto"/>
              <w:ind w:right="-170" w:rightChars="-81"/>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法定代表人二代身份证反面</w:t>
            </w:r>
          </w:p>
        </w:tc>
      </w:tr>
    </w:tbl>
    <w:p>
      <w:pPr>
        <w:widowControl/>
        <w:topLinePunct/>
        <w:spacing w:line="440" w:lineRule="atLeast"/>
        <w:rPr>
          <w:rFonts w:asciiTheme="minorEastAsia" w:hAnsiTheme="minorEastAsia" w:eastAsiaTheme="minorEastAsia"/>
          <w:kern w:val="0"/>
          <w:sz w:val="28"/>
          <w:szCs w:val="28"/>
        </w:rPr>
      </w:pPr>
    </w:p>
    <w:p>
      <w:pPr>
        <w:widowControl/>
        <w:topLinePunct/>
        <w:spacing w:line="440" w:lineRule="atLeast"/>
        <w:rPr>
          <w:rFonts w:asciiTheme="minorEastAsia" w:hAnsiTheme="minorEastAsia" w:eastAsiaTheme="minorEastAsia"/>
          <w:kern w:val="0"/>
          <w:sz w:val="28"/>
          <w:szCs w:val="28"/>
        </w:rPr>
      </w:pPr>
    </w:p>
    <w:p>
      <w:pPr>
        <w:widowControl/>
        <w:topLinePunct/>
        <w:spacing w:line="440" w:lineRule="atLeast"/>
        <w:rPr>
          <w:rFonts w:asciiTheme="minorEastAsia" w:hAnsiTheme="minorEastAsia" w:eastAsiaTheme="minorEastAsia"/>
          <w:kern w:val="0"/>
          <w:sz w:val="28"/>
          <w:szCs w:val="28"/>
        </w:rPr>
      </w:pPr>
    </w:p>
    <w:bookmarkEnd w:id="29"/>
    <w:p>
      <w:pPr>
        <w:widowControl/>
        <w:jc w:val="left"/>
        <w:rPr>
          <w:rFonts w:asciiTheme="minorEastAsia" w:hAnsiTheme="minorEastAsia" w:eastAsiaTheme="minorEastAsia"/>
          <w:sz w:val="28"/>
          <w:szCs w:val="28"/>
        </w:rPr>
      </w:pPr>
      <w:bookmarkStart w:id="30" w:name="_Toc1544821"/>
      <w:bookmarkStart w:id="31" w:name="_Toc526861364"/>
      <w:bookmarkStart w:id="32" w:name="_Toc303865002"/>
      <w:r>
        <w:rPr>
          <w:rFonts w:asciiTheme="minorEastAsia" w:hAnsiTheme="minorEastAsia" w:eastAsiaTheme="minorEastAsia"/>
          <w:b/>
          <w:bCs/>
          <w:sz w:val="28"/>
          <w:szCs w:val="28"/>
        </w:rPr>
        <w:br w:type="page"/>
      </w:r>
    </w:p>
    <w:p>
      <w:pPr>
        <w:pStyle w:val="3"/>
        <w:spacing w:before="0" w:after="0" w:line="360" w:lineRule="auto"/>
        <w:jc w:val="center"/>
        <w:rPr>
          <w:rFonts w:asciiTheme="minorEastAsia" w:hAnsiTheme="minorEastAsia" w:eastAsiaTheme="minorEastAsia"/>
          <w:b w:val="0"/>
          <w:bCs w:val="0"/>
          <w:sz w:val="28"/>
          <w:szCs w:val="28"/>
        </w:rPr>
      </w:pPr>
      <w:r>
        <w:rPr>
          <w:rFonts w:hint="eastAsia" w:asciiTheme="minorEastAsia" w:hAnsiTheme="minorEastAsia" w:eastAsiaTheme="minorEastAsia"/>
          <w:b w:val="0"/>
          <w:bCs w:val="0"/>
          <w:sz w:val="28"/>
          <w:szCs w:val="28"/>
        </w:rPr>
        <w:t>四、授权委托书</w:t>
      </w:r>
      <w:bookmarkEnd w:id="30"/>
      <w:bookmarkEnd w:id="31"/>
      <w:bookmarkEnd w:id="32"/>
    </w:p>
    <w:p>
      <w:pPr>
        <w:widowControl/>
        <w:spacing w:line="400" w:lineRule="atLeast"/>
        <w:rPr>
          <w:rFonts w:asciiTheme="minorEastAsia" w:hAnsiTheme="minorEastAsia" w:eastAsiaTheme="minorEastAsia"/>
          <w:kern w:val="0"/>
          <w:sz w:val="28"/>
          <w:szCs w:val="28"/>
        </w:rPr>
      </w:pPr>
    </w:p>
    <w:p>
      <w:pPr>
        <w:spacing w:line="400" w:lineRule="exact"/>
        <w:ind w:firstLine="560" w:firstLineChars="20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本授权委托书声明：我（姓名）系（投标人名称）的法定代表人，现授权委托（单位名称）的（姓名）为我公司代理人，以本公司的名义参加</w:t>
      </w:r>
      <w:r>
        <w:rPr>
          <w:rFonts w:hint="eastAsia" w:asciiTheme="minorEastAsia" w:hAnsiTheme="minorEastAsia" w:eastAsiaTheme="minorEastAsia"/>
          <w:b/>
          <w:bCs/>
          <w:sz w:val="28"/>
          <w:szCs w:val="28"/>
          <w:u w:val="single"/>
        </w:rPr>
        <w:t>202</w:t>
      </w:r>
      <w:r>
        <w:rPr>
          <w:rFonts w:hint="eastAsia" w:asciiTheme="minorEastAsia" w:hAnsiTheme="minorEastAsia" w:eastAsiaTheme="minorEastAsia"/>
          <w:b/>
          <w:bCs/>
          <w:sz w:val="28"/>
          <w:szCs w:val="28"/>
          <w:u w:val="single"/>
          <w:lang w:val="en-US" w:eastAsia="zh-CN"/>
        </w:rPr>
        <w:t>4</w:t>
      </w:r>
      <w:r>
        <w:rPr>
          <w:rFonts w:hint="eastAsia" w:asciiTheme="minorEastAsia" w:hAnsiTheme="minorEastAsia" w:eastAsiaTheme="minorEastAsia"/>
          <w:b/>
          <w:bCs/>
          <w:sz w:val="28"/>
          <w:szCs w:val="28"/>
          <w:u w:val="single"/>
        </w:rPr>
        <w:t>年</w:t>
      </w:r>
      <w:r>
        <w:rPr>
          <w:rFonts w:hint="eastAsia" w:asciiTheme="minorEastAsia" w:hAnsiTheme="minorEastAsia" w:eastAsiaTheme="minorEastAsia"/>
          <w:b/>
          <w:bCs/>
          <w:sz w:val="28"/>
          <w:szCs w:val="28"/>
          <w:u w:val="single"/>
          <w:lang w:val="en-US" w:eastAsia="zh-CN"/>
        </w:rPr>
        <w:t>1-6</w:t>
      </w:r>
      <w:r>
        <w:rPr>
          <w:rFonts w:hint="eastAsia" w:asciiTheme="minorEastAsia" w:hAnsiTheme="minorEastAsia" w:eastAsiaTheme="minorEastAsia"/>
          <w:b/>
          <w:bCs/>
          <w:sz w:val="28"/>
          <w:szCs w:val="28"/>
          <w:u w:val="single"/>
        </w:rPr>
        <w:t>月炼钢炼铁用</w:t>
      </w:r>
      <w:r>
        <w:rPr>
          <w:rFonts w:hint="eastAsia" w:ascii="宋体" w:hAnsi="宋体" w:cs="宋体"/>
          <w:b/>
          <w:bCs/>
          <w:sz w:val="28"/>
          <w:szCs w:val="28"/>
          <w:u w:val="single"/>
        </w:rPr>
        <w:t>保温覆盖剂（碳化稻壳型）</w:t>
      </w:r>
      <w:r>
        <w:rPr>
          <w:rFonts w:hint="eastAsia" w:asciiTheme="minorEastAsia" w:hAnsiTheme="minorEastAsia" w:eastAsiaTheme="minorEastAsia"/>
          <w:b/>
          <w:bCs/>
          <w:sz w:val="28"/>
          <w:szCs w:val="28"/>
          <w:u w:val="single"/>
        </w:rPr>
        <w:t>采购</w:t>
      </w:r>
      <w:r>
        <w:rPr>
          <w:rFonts w:hint="eastAsia" w:asciiTheme="minorEastAsia" w:hAnsiTheme="minorEastAsia" w:eastAsiaTheme="minorEastAsia"/>
          <w:sz w:val="28"/>
          <w:szCs w:val="28"/>
          <w:u w:val="single"/>
        </w:rPr>
        <w:t>项目</w:t>
      </w:r>
      <w:r>
        <w:rPr>
          <w:rFonts w:hint="eastAsia" w:asciiTheme="minorEastAsia" w:hAnsiTheme="minorEastAsia" w:eastAsiaTheme="minorEastAsia"/>
          <w:sz w:val="28"/>
          <w:szCs w:val="28"/>
        </w:rPr>
        <w:t>的投标活动。代理人在开标、评标、合同谈判签订及执行过程中所签署的一切文件和处理与之有关的一切事务，我均予以承认，均是我的行为，由我承担法律责任。</w:t>
      </w:r>
    </w:p>
    <w:p>
      <w:pPr>
        <w:spacing w:line="360" w:lineRule="atLeast"/>
        <w:ind w:firstLine="480"/>
        <w:rPr>
          <w:rFonts w:asciiTheme="minorEastAsia" w:hAnsiTheme="minorEastAsia" w:eastAsiaTheme="minorEastAsia"/>
          <w:sz w:val="28"/>
          <w:szCs w:val="28"/>
        </w:rPr>
      </w:pPr>
      <w:r>
        <w:rPr>
          <w:rFonts w:hint="eastAsia" w:asciiTheme="minorEastAsia" w:hAnsiTheme="minorEastAsia" w:eastAsiaTheme="minorEastAsia"/>
          <w:sz w:val="28"/>
          <w:szCs w:val="28"/>
        </w:rPr>
        <w:t>委托人联系电话：</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spacing w:line="360" w:lineRule="atLeast"/>
        <w:ind w:firstLine="480"/>
        <w:rPr>
          <w:rFonts w:asciiTheme="minorEastAsia" w:hAnsiTheme="minorEastAsia" w:eastAsiaTheme="minorEastAsia"/>
          <w:sz w:val="28"/>
          <w:szCs w:val="28"/>
        </w:rPr>
      </w:pPr>
    </w:p>
    <w:p>
      <w:pPr>
        <w:spacing w:line="360" w:lineRule="atLeast"/>
        <w:ind w:firstLine="480"/>
        <w:rPr>
          <w:rFonts w:asciiTheme="minorEastAsia" w:hAnsiTheme="minorEastAsia" w:eastAsiaTheme="minorEastAsia"/>
          <w:sz w:val="28"/>
          <w:szCs w:val="28"/>
        </w:rPr>
      </w:pPr>
      <w:r>
        <w:rPr>
          <w:rFonts w:hint="eastAsia" w:asciiTheme="minorEastAsia" w:hAnsiTheme="minorEastAsia" w:eastAsiaTheme="minorEastAsia"/>
          <w:sz w:val="28"/>
          <w:szCs w:val="28"/>
        </w:rPr>
        <w:t>特此委托。</w:t>
      </w:r>
    </w:p>
    <w:p>
      <w:pPr>
        <w:widowControl/>
        <w:topLinePunct/>
        <w:spacing w:line="440" w:lineRule="atLeast"/>
        <w:ind w:firstLine="2879"/>
        <w:rPr>
          <w:rFonts w:asciiTheme="minorEastAsia" w:hAnsiTheme="minorEastAsia" w:eastAsiaTheme="minorEastAsia"/>
          <w:kern w:val="0"/>
          <w:sz w:val="28"/>
          <w:szCs w:val="28"/>
        </w:rPr>
      </w:pPr>
    </w:p>
    <w:p>
      <w:pPr>
        <w:widowControl/>
        <w:topLinePunct/>
        <w:spacing w:line="440" w:lineRule="atLeast"/>
        <w:ind w:firstLine="2879"/>
        <w:rPr>
          <w:rFonts w:asciiTheme="minorEastAsia" w:hAnsiTheme="minorEastAsia" w:eastAsiaTheme="minorEastAsia"/>
          <w:kern w:val="0"/>
          <w:sz w:val="28"/>
          <w:szCs w:val="28"/>
        </w:rPr>
      </w:pPr>
      <w:r>
        <w:rPr>
          <w:rFonts w:asciiTheme="minorEastAsia" w:hAnsiTheme="minorEastAsia" w:eastAsiaTheme="minorEastAsia"/>
          <w:kern w:val="0"/>
          <w:sz w:val="28"/>
          <w:szCs w:val="28"/>
        </w:rPr>
        <w:t>投标人：（盖单位</w:t>
      </w:r>
      <w:r>
        <w:rPr>
          <w:rFonts w:hint="eastAsia" w:asciiTheme="minorEastAsia" w:hAnsiTheme="minorEastAsia" w:eastAsiaTheme="minorEastAsia"/>
          <w:kern w:val="0"/>
          <w:sz w:val="28"/>
          <w:szCs w:val="28"/>
        </w:rPr>
        <w:t>公</w:t>
      </w:r>
      <w:r>
        <w:rPr>
          <w:rFonts w:asciiTheme="minorEastAsia" w:hAnsiTheme="minorEastAsia" w:eastAsiaTheme="minorEastAsia"/>
          <w:kern w:val="0"/>
          <w:sz w:val="28"/>
          <w:szCs w:val="28"/>
        </w:rPr>
        <w:t>章）</w:t>
      </w:r>
    </w:p>
    <w:p>
      <w:pPr>
        <w:widowControl/>
        <w:topLinePunct/>
        <w:spacing w:line="440" w:lineRule="atLeast"/>
        <w:ind w:firstLine="2879"/>
        <w:rPr>
          <w:rFonts w:asciiTheme="minorEastAsia" w:hAnsiTheme="minorEastAsia" w:eastAsiaTheme="minorEastAsia"/>
          <w:kern w:val="0"/>
          <w:sz w:val="28"/>
          <w:szCs w:val="28"/>
        </w:rPr>
      </w:pPr>
    </w:p>
    <w:p>
      <w:pPr>
        <w:widowControl/>
        <w:topLinePunct/>
        <w:spacing w:line="440" w:lineRule="atLeast"/>
        <w:ind w:firstLine="2879"/>
        <w:rPr>
          <w:rFonts w:asciiTheme="minorEastAsia" w:hAnsiTheme="minorEastAsia" w:eastAsiaTheme="minorEastAsia"/>
          <w:kern w:val="0"/>
          <w:sz w:val="28"/>
          <w:szCs w:val="28"/>
        </w:rPr>
      </w:pPr>
      <w:r>
        <w:rPr>
          <w:rFonts w:asciiTheme="minorEastAsia" w:hAnsiTheme="minorEastAsia" w:eastAsiaTheme="minorEastAsia"/>
          <w:kern w:val="0"/>
          <w:sz w:val="28"/>
          <w:szCs w:val="28"/>
        </w:rPr>
        <w:t>法定代表人：（</w:t>
      </w:r>
      <w:r>
        <w:rPr>
          <w:rFonts w:hint="eastAsia" w:asciiTheme="minorEastAsia" w:hAnsiTheme="minorEastAsia" w:eastAsiaTheme="minorEastAsia"/>
          <w:sz w:val="28"/>
          <w:szCs w:val="28"/>
        </w:rPr>
        <w:t>签字或盖章</w:t>
      </w:r>
      <w:r>
        <w:rPr>
          <w:rFonts w:asciiTheme="minorEastAsia" w:hAnsiTheme="minorEastAsia" w:eastAsiaTheme="minorEastAsia"/>
          <w:kern w:val="0"/>
          <w:sz w:val="28"/>
          <w:szCs w:val="28"/>
        </w:rPr>
        <w:t>）</w:t>
      </w:r>
    </w:p>
    <w:p>
      <w:pPr>
        <w:widowControl/>
        <w:topLinePunct/>
        <w:spacing w:line="440" w:lineRule="atLeast"/>
        <w:ind w:firstLine="2879"/>
        <w:rPr>
          <w:rFonts w:asciiTheme="minorEastAsia" w:hAnsiTheme="minorEastAsia" w:eastAsiaTheme="minorEastAsia"/>
          <w:kern w:val="0"/>
          <w:sz w:val="28"/>
          <w:szCs w:val="28"/>
        </w:rPr>
      </w:pPr>
    </w:p>
    <w:p>
      <w:pPr>
        <w:widowControl/>
        <w:topLinePunct/>
        <w:spacing w:line="440" w:lineRule="atLeast"/>
        <w:ind w:firstLine="2879"/>
        <w:rPr>
          <w:rFonts w:asciiTheme="minorEastAsia" w:hAnsiTheme="minorEastAsia" w:eastAsiaTheme="minorEastAsia"/>
          <w:kern w:val="0"/>
          <w:sz w:val="28"/>
          <w:szCs w:val="28"/>
        </w:rPr>
      </w:pPr>
      <w:r>
        <w:rPr>
          <w:rFonts w:asciiTheme="minorEastAsia" w:hAnsiTheme="minorEastAsia" w:eastAsiaTheme="minorEastAsia"/>
          <w:kern w:val="0"/>
          <w:sz w:val="28"/>
          <w:szCs w:val="28"/>
        </w:rPr>
        <w:t>委托代理人：（</w:t>
      </w:r>
      <w:r>
        <w:rPr>
          <w:rFonts w:hint="eastAsia" w:asciiTheme="minorEastAsia" w:hAnsiTheme="minorEastAsia" w:eastAsiaTheme="minorEastAsia"/>
          <w:sz w:val="28"/>
          <w:szCs w:val="28"/>
        </w:rPr>
        <w:t>签字或盖章</w:t>
      </w:r>
      <w:r>
        <w:rPr>
          <w:rFonts w:asciiTheme="minorEastAsia" w:hAnsiTheme="minorEastAsia" w:eastAsiaTheme="minorEastAsia"/>
          <w:kern w:val="0"/>
          <w:sz w:val="28"/>
          <w:szCs w:val="28"/>
        </w:rPr>
        <w:t>）</w:t>
      </w:r>
    </w:p>
    <w:p>
      <w:pPr>
        <w:widowControl/>
        <w:topLinePunct/>
        <w:spacing w:line="440" w:lineRule="atLeast"/>
        <w:ind w:left="4117" w:firstLine="2879"/>
        <w:rPr>
          <w:rFonts w:asciiTheme="minorEastAsia" w:hAnsiTheme="minorEastAsia" w:eastAsiaTheme="minorEastAsia"/>
          <w:kern w:val="0"/>
          <w:sz w:val="28"/>
          <w:szCs w:val="28"/>
        </w:rPr>
      </w:pPr>
    </w:p>
    <w:p>
      <w:pPr>
        <w:spacing w:line="360" w:lineRule="auto"/>
        <w:ind w:firstLine="2800" w:firstLineChars="10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日   期：   年    月    日</w:t>
      </w:r>
    </w:p>
    <w:p>
      <w:pPr>
        <w:widowControl/>
        <w:topLinePunct/>
        <w:spacing w:line="440" w:lineRule="atLeast"/>
        <w:jc w:val="left"/>
        <w:rPr>
          <w:rFonts w:cs="宋体" w:asciiTheme="minorEastAsia" w:hAnsiTheme="minorEastAsia" w:eastAsiaTheme="minorEastAsia"/>
          <w:sz w:val="28"/>
          <w:szCs w:val="28"/>
        </w:rPr>
      </w:pPr>
    </w:p>
    <w:p>
      <w:pPr>
        <w:widowControl/>
        <w:topLinePunct/>
        <w:spacing w:line="460" w:lineRule="atLeast"/>
        <w:rPr>
          <w:rFonts w:asciiTheme="minorEastAsia" w:hAnsiTheme="minorEastAsia" w:eastAsiaTheme="minorEastAsia"/>
          <w:b/>
          <w:kern w:val="0"/>
          <w:sz w:val="28"/>
          <w:szCs w:val="28"/>
        </w:rPr>
      </w:pPr>
      <w:r>
        <w:rPr>
          <w:rFonts w:hint="eastAsia" w:asciiTheme="minorEastAsia" w:hAnsiTheme="minorEastAsia" w:eastAsiaTheme="minorEastAsia"/>
          <w:b/>
          <w:kern w:val="0"/>
          <w:sz w:val="28"/>
          <w:szCs w:val="28"/>
        </w:rPr>
        <w:t>附：委托代理人</w:t>
      </w:r>
      <w:r>
        <w:rPr>
          <w:rFonts w:hint="eastAsia" w:asciiTheme="minorEastAsia" w:hAnsiTheme="minorEastAsia" w:eastAsiaTheme="minorEastAsia"/>
          <w:b/>
          <w:bCs/>
          <w:sz w:val="28"/>
          <w:szCs w:val="28"/>
        </w:rPr>
        <w:t>身份证扫描件</w:t>
      </w:r>
    </w:p>
    <w:tbl>
      <w:tblPr>
        <w:tblStyle w:val="37"/>
        <w:tblW w:w="9529"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838"/>
        <w:gridCol w:w="4691"/>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3190" w:hRule="atLeast"/>
        </w:trPr>
        <w:tc>
          <w:tcPr>
            <w:tcW w:w="4838" w:type="dxa"/>
            <w:vAlign w:val="center"/>
          </w:tcPr>
          <w:p>
            <w:pPr>
              <w:snapToGrid w:val="0"/>
              <w:spacing w:line="360" w:lineRule="auto"/>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委托代理人二代身份证正面</w:t>
            </w:r>
          </w:p>
        </w:tc>
        <w:tc>
          <w:tcPr>
            <w:tcW w:w="4691" w:type="dxa"/>
            <w:vAlign w:val="center"/>
          </w:tcPr>
          <w:p>
            <w:pPr>
              <w:snapToGrid w:val="0"/>
              <w:spacing w:line="360" w:lineRule="auto"/>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委托代理人二代身份证反面</w:t>
            </w:r>
          </w:p>
        </w:tc>
      </w:tr>
    </w:tbl>
    <w:p>
      <w:pPr>
        <w:widowControl/>
        <w:topLinePunct/>
        <w:spacing w:line="440" w:lineRule="atLeast"/>
        <w:jc w:val="left"/>
        <w:rPr>
          <w:rFonts w:cs="宋体" w:asciiTheme="minorEastAsia" w:hAnsiTheme="minorEastAsia" w:eastAsiaTheme="minorEastAsia"/>
          <w:sz w:val="28"/>
          <w:szCs w:val="28"/>
        </w:rPr>
        <w:sectPr>
          <w:footerReference r:id="rId3" w:type="default"/>
          <w:pgSz w:w="11906" w:h="16838"/>
          <w:pgMar w:top="1440" w:right="869" w:bottom="1440" w:left="1377" w:header="851" w:footer="992" w:gutter="0"/>
          <w:cols w:space="720" w:num="1"/>
          <w:docGrid w:linePitch="326" w:charSpace="0"/>
        </w:sectPr>
      </w:pPr>
    </w:p>
    <w:p>
      <w:pPr>
        <w:pStyle w:val="3"/>
        <w:spacing w:before="0" w:after="0" w:line="360" w:lineRule="auto"/>
        <w:jc w:val="center"/>
        <w:rPr>
          <w:rFonts w:asciiTheme="minorEastAsia" w:hAnsiTheme="minorEastAsia" w:eastAsiaTheme="minorEastAsia"/>
          <w:b w:val="0"/>
          <w:bCs w:val="0"/>
          <w:sz w:val="28"/>
          <w:szCs w:val="28"/>
        </w:rPr>
      </w:pPr>
      <w:bookmarkStart w:id="33" w:name="_Toc1544822"/>
      <w:bookmarkStart w:id="34" w:name="_Toc526861365"/>
      <w:r>
        <w:rPr>
          <w:rFonts w:hint="eastAsia" w:asciiTheme="minorEastAsia" w:hAnsiTheme="minorEastAsia" w:eastAsiaTheme="minorEastAsia"/>
          <w:b w:val="0"/>
          <w:bCs w:val="0"/>
          <w:sz w:val="28"/>
          <w:szCs w:val="28"/>
        </w:rPr>
        <w:t>五、投标保证金</w:t>
      </w:r>
      <w:bookmarkEnd w:id="33"/>
      <w:bookmarkEnd w:id="34"/>
      <w:r>
        <w:rPr>
          <w:rFonts w:hint="eastAsia" w:asciiTheme="minorEastAsia" w:hAnsiTheme="minorEastAsia" w:eastAsiaTheme="minorEastAsia"/>
          <w:b w:val="0"/>
          <w:bCs w:val="0"/>
          <w:sz w:val="28"/>
          <w:szCs w:val="28"/>
        </w:rPr>
        <w:t>承诺函</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致：衡阳华菱钢管/连轧管有限公司</w:t>
      </w:r>
    </w:p>
    <w:p>
      <w:pPr>
        <w:ind w:firstLine="700" w:firstLineChars="250"/>
        <w:rPr>
          <w:rFonts w:asciiTheme="minorEastAsia" w:hAnsiTheme="minorEastAsia" w:eastAsiaTheme="minorEastAsia"/>
          <w:sz w:val="28"/>
          <w:szCs w:val="28"/>
        </w:rPr>
      </w:pPr>
      <w:r>
        <w:rPr>
          <w:rFonts w:hint="eastAsia" w:asciiTheme="minorEastAsia" w:hAnsiTheme="minorEastAsia" w:eastAsiaTheme="minorEastAsia"/>
          <w:sz w:val="28"/>
          <w:szCs w:val="28"/>
        </w:rPr>
        <w:t>根据贵方</w:t>
      </w:r>
      <w:r>
        <w:rPr>
          <w:rFonts w:hint="eastAsia" w:asciiTheme="minorEastAsia" w:hAnsiTheme="minorEastAsia" w:eastAsiaTheme="minorEastAsia"/>
          <w:b/>
          <w:bCs/>
          <w:sz w:val="28"/>
          <w:szCs w:val="28"/>
          <w:u w:val="single"/>
        </w:rPr>
        <w:t>202</w:t>
      </w:r>
      <w:r>
        <w:rPr>
          <w:rFonts w:hint="eastAsia" w:asciiTheme="minorEastAsia" w:hAnsiTheme="minorEastAsia" w:eastAsiaTheme="minorEastAsia"/>
          <w:b/>
          <w:bCs/>
          <w:sz w:val="28"/>
          <w:szCs w:val="28"/>
          <w:u w:val="single"/>
          <w:lang w:val="en-US" w:eastAsia="zh-CN"/>
        </w:rPr>
        <w:t>4</w:t>
      </w:r>
      <w:r>
        <w:rPr>
          <w:rFonts w:hint="eastAsia" w:asciiTheme="minorEastAsia" w:hAnsiTheme="minorEastAsia" w:eastAsiaTheme="minorEastAsia"/>
          <w:b/>
          <w:bCs/>
          <w:sz w:val="28"/>
          <w:szCs w:val="28"/>
          <w:u w:val="single"/>
        </w:rPr>
        <w:t>年</w:t>
      </w:r>
      <w:r>
        <w:rPr>
          <w:rFonts w:hint="eastAsia" w:asciiTheme="minorEastAsia" w:hAnsiTheme="minorEastAsia" w:eastAsiaTheme="minorEastAsia"/>
          <w:b/>
          <w:bCs/>
          <w:sz w:val="28"/>
          <w:szCs w:val="28"/>
          <w:u w:val="single"/>
          <w:lang w:val="en-US" w:eastAsia="zh-CN"/>
        </w:rPr>
        <w:t>1-6</w:t>
      </w:r>
      <w:r>
        <w:rPr>
          <w:rFonts w:hint="eastAsia" w:asciiTheme="minorEastAsia" w:hAnsiTheme="minorEastAsia" w:eastAsiaTheme="minorEastAsia"/>
          <w:b/>
          <w:bCs/>
          <w:sz w:val="28"/>
          <w:szCs w:val="28"/>
          <w:u w:val="single"/>
        </w:rPr>
        <w:t>月炼钢炼铁用</w:t>
      </w:r>
      <w:r>
        <w:rPr>
          <w:rFonts w:hint="eastAsia" w:ascii="宋体" w:hAnsi="宋体" w:cs="宋体"/>
          <w:b/>
          <w:bCs/>
          <w:sz w:val="28"/>
          <w:szCs w:val="28"/>
          <w:u w:val="single"/>
        </w:rPr>
        <w:t>保温覆盖剂（碳化稻壳型）</w:t>
      </w:r>
      <w:r>
        <w:rPr>
          <w:rFonts w:hint="eastAsia" w:asciiTheme="minorEastAsia" w:hAnsiTheme="minorEastAsia" w:eastAsiaTheme="minorEastAsia"/>
          <w:b/>
          <w:bCs/>
          <w:sz w:val="28"/>
          <w:szCs w:val="28"/>
          <w:u w:val="single"/>
        </w:rPr>
        <w:t>采购</w:t>
      </w:r>
      <w:r>
        <w:rPr>
          <w:rFonts w:hint="eastAsia" w:asciiTheme="minorEastAsia" w:hAnsiTheme="minorEastAsia" w:eastAsiaTheme="minorEastAsia"/>
          <w:sz w:val="28"/>
          <w:szCs w:val="28"/>
          <w:u w:val="single"/>
        </w:rPr>
        <w:t>项目</w:t>
      </w:r>
      <w:r>
        <w:rPr>
          <w:rFonts w:hint="eastAsia" w:asciiTheme="minorEastAsia" w:hAnsiTheme="minorEastAsia" w:eastAsiaTheme="minorEastAsia"/>
          <w:sz w:val="28"/>
          <w:szCs w:val="28"/>
        </w:rPr>
        <w:t>招标文件</w:t>
      </w:r>
      <w:r>
        <w:rPr>
          <w:rFonts w:hint="eastAsia" w:asciiTheme="minorEastAsia" w:hAnsiTheme="minorEastAsia" w:eastAsiaTheme="minorEastAsia"/>
          <w:b/>
          <w:bCs/>
          <w:sz w:val="28"/>
          <w:szCs w:val="28"/>
          <w:u w:val="single"/>
        </w:rPr>
        <w:t>HGJY-G2023194</w:t>
      </w:r>
      <w:r>
        <w:rPr>
          <w:rFonts w:hint="eastAsia" w:asciiTheme="minorEastAsia" w:hAnsiTheme="minorEastAsia" w:eastAsiaTheme="minorEastAsia"/>
          <w:sz w:val="28"/>
          <w:szCs w:val="28"/>
        </w:rPr>
        <w:t>（项目编号）规定，我方承诺提交</w:t>
      </w:r>
      <w:r>
        <w:rPr>
          <w:rFonts w:asciiTheme="minorEastAsia" w:hAnsiTheme="minorEastAsia" w:eastAsiaTheme="minorEastAsia"/>
          <w:sz w:val="28"/>
          <w:szCs w:val="28"/>
        </w:rPr>
        <w:t>________</w:t>
      </w:r>
      <w:r>
        <w:rPr>
          <w:rFonts w:hint="eastAsia" w:asciiTheme="minorEastAsia" w:hAnsiTheme="minorEastAsia" w:eastAsiaTheme="minorEastAsia"/>
          <w:sz w:val="28"/>
          <w:szCs w:val="28"/>
        </w:rPr>
        <w:t>元投标保证金用作投标责任担保。提交投标保证金方式（</w:t>
      </w:r>
      <w:r>
        <w:rPr>
          <w:rFonts w:hint="eastAsia" w:asciiTheme="minorEastAsia" w:hAnsiTheme="minorEastAsia" w:eastAsiaTheme="minorEastAsia"/>
          <w:bCs/>
          <w:sz w:val="28"/>
          <w:szCs w:val="28"/>
        </w:rPr>
        <w:t xml:space="preserve">□ </w:t>
      </w:r>
      <w:r>
        <w:rPr>
          <w:rFonts w:hint="eastAsia" w:asciiTheme="minorEastAsia" w:hAnsiTheme="minorEastAsia" w:eastAsiaTheme="minorEastAsia"/>
          <w:sz w:val="28"/>
          <w:szCs w:val="28"/>
        </w:rPr>
        <w:t>现金；</w:t>
      </w:r>
      <w:r>
        <w:rPr>
          <w:rFonts w:hint="eastAsia" w:asciiTheme="minorEastAsia" w:hAnsiTheme="minorEastAsia" w:eastAsiaTheme="minorEastAsia"/>
          <w:bCs/>
          <w:sz w:val="28"/>
          <w:szCs w:val="28"/>
        </w:rPr>
        <w:t>□</w:t>
      </w:r>
      <w:r>
        <w:rPr>
          <w:rFonts w:hint="eastAsia" w:asciiTheme="minorEastAsia" w:hAnsiTheme="minorEastAsia" w:eastAsiaTheme="minorEastAsia"/>
          <w:sz w:val="28"/>
          <w:szCs w:val="28"/>
        </w:rPr>
        <w:t>银行汇票；</w:t>
      </w:r>
      <w:r>
        <w:rPr>
          <w:rFonts w:hint="eastAsia" w:asciiTheme="minorEastAsia" w:hAnsiTheme="minorEastAsia" w:eastAsiaTheme="minorEastAsia"/>
          <w:bCs/>
          <w:sz w:val="28"/>
          <w:szCs w:val="28"/>
        </w:rPr>
        <w:t xml:space="preserve">□ </w:t>
      </w:r>
      <w:r>
        <w:rPr>
          <w:rFonts w:hint="eastAsia" w:asciiTheme="minorEastAsia" w:hAnsiTheme="minorEastAsia" w:eastAsiaTheme="minorEastAsia"/>
          <w:sz w:val="28"/>
          <w:szCs w:val="28"/>
        </w:rPr>
        <w:t>转账凭证；</w:t>
      </w:r>
      <w:r>
        <w:rPr>
          <w:rFonts w:hint="eastAsia" w:asciiTheme="minorEastAsia" w:hAnsiTheme="minorEastAsia" w:eastAsiaTheme="minorEastAsia"/>
          <w:bCs/>
          <w:sz w:val="28"/>
          <w:szCs w:val="28"/>
        </w:rPr>
        <w:t xml:space="preserve">□ </w:t>
      </w:r>
      <w:r>
        <w:rPr>
          <w:rFonts w:hint="eastAsia" w:asciiTheme="minorEastAsia" w:hAnsiTheme="minorEastAsia" w:eastAsiaTheme="minorEastAsia"/>
          <w:sz w:val="28"/>
          <w:szCs w:val="28"/>
        </w:rPr>
        <w:t>货款；</w:t>
      </w:r>
      <w:r>
        <w:rPr>
          <w:rFonts w:hint="eastAsia" w:asciiTheme="minorEastAsia" w:hAnsiTheme="minorEastAsia" w:eastAsiaTheme="minorEastAsia"/>
          <w:bCs/>
          <w:sz w:val="28"/>
          <w:szCs w:val="28"/>
        </w:rPr>
        <w:t>□ 工程款&lt;</w:t>
      </w:r>
      <w:r>
        <w:rPr>
          <w:rFonts w:hint="eastAsia" w:asciiTheme="minorEastAsia" w:hAnsiTheme="minorEastAsia" w:eastAsiaTheme="minorEastAsia"/>
          <w:b/>
          <w:bCs/>
          <w:sz w:val="28"/>
          <w:szCs w:val="28"/>
        </w:rPr>
        <w:t>□中√选</w:t>
      </w:r>
      <w:r>
        <w:rPr>
          <w:rFonts w:hint="eastAsia" w:asciiTheme="minorEastAsia" w:hAnsiTheme="minorEastAsia" w:eastAsiaTheme="minorEastAsia"/>
          <w:bCs/>
          <w:sz w:val="28"/>
          <w:szCs w:val="28"/>
        </w:rPr>
        <w:t>&gt;</w:t>
      </w:r>
      <w:r>
        <w:rPr>
          <w:rFonts w:hint="eastAsia" w:asciiTheme="minorEastAsia" w:hAnsiTheme="minorEastAsia" w:eastAsiaTheme="minorEastAsia"/>
          <w:sz w:val="28"/>
          <w:szCs w:val="28"/>
        </w:rPr>
        <w:t>）</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如我方</w:t>
      </w:r>
      <w:r>
        <w:rPr>
          <w:rFonts w:asciiTheme="minorEastAsia" w:hAnsiTheme="minorEastAsia" w:eastAsiaTheme="minorEastAsia"/>
          <w:sz w:val="28"/>
          <w:szCs w:val="28"/>
        </w:rPr>
        <w:t>发生</w:t>
      </w:r>
      <w:r>
        <w:rPr>
          <w:rFonts w:hint="eastAsia" w:asciiTheme="minorEastAsia" w:hAnsiTheme="minorEastAsia" w:eastAsiaTheme="minorEastAsia"/>
          <w:sz w:val="28"/>
          <w:szCs w:val="28"/>
        </w:rPr>
        <w:t>下列情况</w:t>
      </w:r>
      <w:r>
        <w:rPr>
          <w:rFonts w:asciiTheme="minorEastAsia" w:hAnsiTheme="minorEastAsia" w:eastAsiaTheme="minorEastAsia"/>
          <w:sz w:val="28"/>
          <w:szCs w:val="28"/>
        </w:rPr>
        <w:t>，投标保证金可被贵方没收</w:t>
      </w:r>
      <w:r>
        <w:rPr>
          <w:rFonts w:hint="eastAsia" w:asciiTheme="minorEastAsia" w:hAnsiTheme="minorEastAsia" w:eastAsiaTheme="minorEastAsia"/>
          <w:sz w:val="28"/>
          <w:szCs w:val="28"/>
        </w:rPr>
        <w:t>：</w:t>
      </w:r>
    </w:p>
    <w:p>
      <w:pPr>
        <w:pStyle w:val="100"/>
        <w:numPr>
          <w:ilvl w:val="0"/>
          <w:numId w:val="18"/>
        </w:numPr>
        <w:tabs>
          <w:tab w:val="left" w:pos="1418"/>
        </w:tabs>
        <w:ind w:firstLineChars="0"/>
        <w:rPr>
          <w:rFonts w:asciiTheme="minorEastAsia" w:hAnsiTheme="minorEastAsia" w:eastAsiaTheme="minorEastAsia"/>
          <w:sz w:val="28"/>
          <w:szCs w:val="28"/>
        </w:rPr>
      </w:pPr>
      <w:r>
        <w:rPr>
          <w:rFonts w:asciiTheme="minorEastAsia" w:hAnsiTheme="minorEastAsia" w:eastAsiaTheme="minorEastAsia"/>
          <w:sz w:val="28"/>
          <w:szCs w:val="28"/>
        </w:rPr>
        <w:t>在投标有效期内撤回其投标</w:t>
      </w:r>
      <w:r>
        <w:rPr>
          <w:rFonts w:hint="eastAsia" w:asciiTheme="minorEastAsia" w:hAnsiTheme="minorEastAsia" w:eastAsiaTheme="minorEastAsia"/>
          <w:sz w:val="28"/>
          <w:szCs w:val="28"/>
        </w:rPr>
        <w:t>报价</w:t>
      </w:r>
      <w:r>
        <w:rPr>
          <w:rFonts w:asciiTheme="minorEastAsia" w:hAnsiTheme="minorEastAsia" w:eastAsiaTheme="minorEastAsia"/>
          <w:sz w:val="28"/>
          <w:szCs w:val="28"/>
        </w:rPr>
        <w:t xml:space="preserve">； </w:t>
      </w:r>
    </w:p>
    <w:p>
      <w:pPr>
        <w:pStyle w:val="100"/>
        <w:numPr>
          <w:ilvl w:val="0"/>
          <w:numId w:val="18"/>
        </w:numPr>
        <w:tabs>
          <w:tab w:val="left" w:pos="1418"/>
        </w:tabs>
        <w:ind w:firstLineChars="0"/>
        <w:rPr>
          <w:rFonts w:asciiTheme="minorEastAsia" w:hAnsiTheme="minorEastAsia" w:eastAsiaTheme="minorEastAsia"/>
          <w:sz w:val="28"/>
          <w:szCs w:val="28"/>
        </w:rPr>
      </w:pPr>
      <w:r>
        <w:rPr>
          <w:rFonts w:asciiTheme="minorEastAsia" w:hAnsiTheme="minorEastAsia" w:eastAsiaTheme="minorEastAsia"/>
          <w:sz w:val="28"/>
          <w:szCs w:val="28"/>
        </w:rPr>
        <w:t>中标</w:t>
      </w:r>
      <w:r>
        <w:rPr>
          <w:rFonts w:hint="eastAsia" w:asciiTheme="minorEastAsia" w:hAnsiTheme="minorEastAsia" w:eastAsiaTheme="minorEastAsia"/>
          <w:sz w:val="28"/>
          <w:szCs w:val="28"/>
        </w:rPr>
        <w:t>后未</w:t>
      </w:r>
      <w:r>
        <w:rPr>
          <w:rFonts w:asciiTheme="minorEastAsia" w:hAnsiTheme="minorEastAsia" w:eastAsiaTheme="minorEastAsia"/>
          <w:sz w:val="28"/>
          <w:szCs w:val="28"/>
        </w:rPr>
        <w:t>按规定签订合同或</w:t>
      </w:r>
      <w:r>
        <w:rPr>
          <w:rFonts w:hint="eastAsia" w:asciiTheme="minorEastAsia" w:hAnsiTheme="minorEastAsia" w:eastAsiaTheme="minorEastAsia"/>
          <w:sz w:val="28"/>
          <w:szCs w:val="28"/>
        </w:rPr>
        <w:t>未</w:t>
      </w:r>
      <w:r>
        <w:rPr>
          <w:rFonts w:asciiTheme="minorEastAsia" w:hAnsiTheme="minorEastAsia" w:eastAsiaTheme="minorEastAsia"/>
          <w:sz w:val="28"/>
          <w:szCs w:val="28"/>
        </w:rPr>
        <w:t>按规定接受对错误的修正；</w:t>
      </w:r>
    </w:p>
    <w:p>
      <w:pPr>
        <w:pStyle w:val="100"/>
        <w:numPr>
          <w:ilvl w:val="0"/>
          <w:numId w:val="18"/>
        </w:numPr>
        <w:tabs>
          <w:tab w:val="left" w:pos="1418"/>
        </w:tabs>
        <w:ind w:firstLineChars="0"/>
        <w:rPr>
          <w:rFonts w:asciiTheme="minorEastAsia" w:hAnsiTheme="minorEastAsia" w:eastAsiaTheme="minorEastAsia"/>
          <w:sz w:val="28"/>
          <w:szCs w:val="28"/>
        </w:rPr>
      </w:pPr>
      <w:r>
        <w:rPr>
          <w:rFonts w:asciiTheme="minorEastAsia" w:hAnsiTheme="minorEastAsia" w:eastAsiaTheme="minorEastAsia"/>
          <w:sz w:val="28"/>
          <w:szCs w:val="28"/>
        </w:rPr>
        <w:t>未</w:t>
      </w:r>
      <w:r>
        <w:rPr>
          <w:rFonts w:hint="eastAsia" w:asciiTheme="minorEastAsia" w:hAnsiTheme="minorEastAsia" w:eastAsiaTheme="minorEastAsia"/>
          <w:sz w:val="28"/>
          <w:szCs w:val="28"/>
        </w:rPr>
        <w:t>按规定</w:t>
      </w:r>
      <w:r>
        <w:rPr>
          <w:rFonts w:asciiTheme="minorEastAsia" w:hAnsiTheme="minorEastAsia" w:eastAsiaTheme="minorEastAsia"/>
          <w:sz w:val="28"/>
          <w:szCs w:val="28"/>
        </w:rPr>
        <w:t>提交履约保证金</w:t>
      </w:r>
      <w:r>
        <w:rPr>
          <w:rFonts w:hint="eastAsia" w:asciiTheme="minorEastAsia" w:hAnsiTheme="minorEastAsia" w:eastAsiaTheme="minorEastAsia"/>
          <w:sz w:val="28"/>
          <w:szCs w:val="28"/>
        </w:rPr>
        <w:t>；</w:t>
      </w:r>
    </w:p>
    <w:p>
      <w:pPr>
        <w:pStyle w:val="100"/>
        <w:numPr>
          <w:ilvl w:val="0"/>
          <w:numId w:val="18"/>
        </w:numPr>
        <w:tabs>
          <w:tab w:val="left" w:pos="1418"/>
        </w:tabs>
        <w:ind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未按规定交纳中标服务费；</w:t>
      </w:r>
    </w:p>
    <w:p>
      <w:pPr>
        <w:pStyle w:val="100"/>
        <w:numPr>
          <w:ilvl w:val="0"/>
          <w:numId w:val="18"/>
        </w:numPr>
        <w:tabs>
          <w:tab w:val="left" w:pos="1418"/>
        </w:tabs>
        <w:ind w:firstLineChars="0"/>
        <w:rPr>
          <w:rFonts w:asciiTheme="minorEastAsia" w:hAnsiTheme="minorEastAsia" w:eastAsiaTheme="minorEastAsia"/>
          <w:sz w:val="28"/>
          <w:szCs w:val="28"/>
        </w:rPr>
      </w:pPr>
      <w:r>
        <w:rPr>
          <w:rFonts w:asciiTheme="minorEastAsia" w:hAnsiTheme="minorEastAsia" w:eastAsiaTheme="minorEastAsia"/>
          <w:sz w:val="28"/>
          <w:szCs w:val="28"/>
        </w:rPr>
        <w:t>串通投标</w:t>
      </w:r>
      <w:r>
        <w:rPr>
          <w:rFonts w:hint="eastAsia" w:asciiTheme="minorEastAsia" w:hAnsiTheme="minorEastAsia" w:eastAsiaTheme="minorEastAsia"/>
          <w:sz w:val="28"/>
          <w:szCs w:val="28"/>
        </w:rPr>
        <w:t>；</w:t>
      </w:r>
    </w:p>
    <w:p>
      <w:pPr>
        <w:pStyle w:val="100"/>
        <w:numPr>
          <w:ilvl w:val="0"/>
          <w:numId w:val="18"/>
        </w:numPr>
        <w:tabs>
          <w:tab w:val="left" w:pos="1418"/>
        </w:tabs>
        <w:ind w:firstLineChars="0"/>
        <w:rPr>
          <w:rFonts w:asciiTheme="minorEastAsia" w:hAnsiTheme="minorEastAsia" w:eastAsiaTheme="minorEastAsia"/>
          <w:sz w:val="28"/>
          <w:szCs w:val="28"/>
        </w:rPr>
      </w:pPr>
      <w:r>
        <w:rPr>
          <w:rFonts w:asciiTheme="minorEastAsia" w:hAnsiTheme="minorEastAsia" w:eastAsiaTheme="minorEastAsia"/>
          <w:sz w:val="28"/>
          <w:szCs w:val="28"/>
        </w:rPr>
        <w:t>存在腐败或欺诈行为</w:t>
      </w:r>
      <w:r>
        <w:rPr>
          <w:rFonts w:hint="eastAsia" w:asciiTheme="minorEastAsia" w:hAnsiTheme="minorEastAsia" w:eastAsiaTheme="minorEastAsia"/>
          <w:sz w:val="28"/>
          <w:szCs w:val="28"/>
        </w:rPr>
        <w:t>；</w:t>
      </w:r>
    </w:p>
    <w:p>
      <w:pPr>
        <w:pStyle w:val="100"/>
        <w:numPr>
          <w:ilvl w:val="0"/>
          <w:numId w:val="18"/>
        </w:numPr>
        <w:tabs>
          <w:tab w:val="left" w:pos="1418"/>
        </w:tabs>
        <w:ind w:firstLineChars="0"/>
        <w:rPr>
          <w:rFonts w:asciiTheme="minorEastAsia" w:hAnsiTheme="minorEastAsia" w:eastAsiaTheme="minorEastAsia"/>
          <w:sz w:val="28"/>
          <w:szCs w:val="28"/>
        </w:rPr>
      </w:pPr>
      <w:r>
        <w:rPr>
          <w:rFonts w:asciiTheme="minorEastAsia" w:hAnsiTheme="minorEastAsia" w:eastAsiaTheme="minorEastAsia"/>
          <w:sz w:val="28"/>
          <w:szCs w:val="28"/>
        </w:rPr>
        <w:t>采用不正当的手段骗取中标</w:t>
      </w:r>
      <w:r>
        <w:rPr>
          <w:rFonts w:hint="eastAsia" w:asciiTheme="minorEastAsia" w:hAnsiTheme="minorEastAsia" w:eastAsiaTheme="minorEastAsia"/>
          <w:sz w:val="28"/>
          <w:szCs w:val="28"/>
        </w:rPr>
        <w:t>；</w:t>
      </w:r>
    </w:p>
    <w:tbl>
      <w:tblPr>
        <w:tblStyle w:val="37"/>
        <w:tblpPr w:leftFromText="180" w:rightFromText="180" w:vertAnchor="text" w:horzAnchor="margin" w:tblpXSpec="center" w:tblpY="57"/>
        <w:tblW w:w="9180" w:type="dxa"/>
        <w:tblInd w:w="0"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7085" w:hRule="atLeast"/>
        </w:trPr>
        <w:tc>
          <w:tcPr>
            <w:tcW w:w="9180" w:type="dxa"/>
            <w:tcBorders>
              <w:top w:val="single" w:color="auto" w:sz="4" w:space="0"/>
            </w:tcBorders>
          </w:tcPr>
          <w:p>
            <w:pPr>
              <w:snapToGrid w:val="0"/>
              <w:spacing w:line="360" w:lineRule="auto"/>
              <w:ind w:right="-170" w:rightChars="-81"/>
              <w:rPr>
                <w:rFonts w:asciiTheme="minorEastAsia" w:hAnsiTheme="minorEastAsia" w:eastAsiaTheme="minorEastAsia"/>
                <w:sz w:val="28"/>
                <w:szCs w:val="28"/>
              </w:rPr>
            </w:pPr>
          </w:p>
          <w:p>
            <w:pPr>
              <w:snapToGrid w:val="0"/>
              <w:spacing w:line="360" w:lineRule="auto"/>
              <w:ind w:right="-170" w:rightChars="-81"/>
              <w:rPr>
                <w:rFonts w:asciiTheme="minorEastAsia" w:hAnsiTheme="minorEastAsia" w:eastAsiaTheme="minorEastAsia"/>
                <w:sz w:val="28"/>
                <w:szCs w:val="28"/>
              </w:rPr>
            </w:pPr>
          </w:p>
          <w:p>
            <w:pPr>
              <w:snapToGrid w:val="0"/>
              <w:spacing w:line="360" w:lineRule="auto"/>
              <w:ind w:right="-170" w:rightChars="-81"/>
              <w:rPr>
                <w:rFonts w:asciiTheme="minorEastAsia" w:hAnsiTheme="minorEastAsia" w:eastAsiaTheme="minorEastAsia"/>
                <w:sz w:val="28"/>
                <w:szCs w:val="28"/>
              </w:rPr>
            </w:pPr>
          </w:p>
          <w:p>
            <w:pPr>
              <w:snapToGrid w:val="0"/>
              <w:spacing w:line="360" w:lineRule="auto"/>
              <w:ind w:right="-170" w:rightChars="-81"/>
              <w:rPr>
                <w:rFonts w:asciiTheme="minorEastAsia" w:hAnsiTheme="minorEastAsia" w:eastAsiaTheme="minorEastAsia"/>
                <w:sz w:val="28"/>
                <w:szCs w:val="28"/>
              </w:rPr>
            </w:pPr>
          </w:p>
          <w:p>
            <w:pPr>
              <w:snapToGrid w:val="0"/>
              <w:spacing w:line="360" w:lineRule="auto"/>
              <w:ind w:right="-170" w:rightChars="-81"/>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付款凭证粘贴处；</w:t>
            </w:r>
          </w:p>
          <w:p>
            <w:pPr>
              <w:snapToGrid w:val="0"/>
              <w:spacing w:line="360" w:lineRule="auto"/>
              <w:ind w:right="-170" w:rightChars="-81"/>
              <w:rPr>
                <w:rFonts w:asciiTheme="minorEastAsia" w:hAnsiTheme="minorEastAsia" w:eastAsiaTheme="minorEastAsia"/>
                <w:sz w:val="28"/>
                <w:szCs w:val="28"/>
              </w:rPr>
            </w:pPr>
          </w:p>
        </w:tc>
      </w:tr>
    </w:tbl>
    <w:p>
      <w:pPr>
        <w:snapToGrid w:val="0"/>
        <w:spacing w:line="360" w:lineRule="auto"/>
        <w:ind w:right="560" w:firstLine="2240" w:firstLineChars="8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投标人：（盖单公位章）</w:t>
      </w:r>
    </w:p>
    <w:p>
      <w:pPr>
        <w:snapToGrid w:val="0"/>
        <w:spacing w:line="360" w:lineRule="auto"/>
        <w:ind w:right="560" w:firstLine="2240" w:firstLineChars="8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法定代表人或其委托代理人：（</w:t>
      </w:r>
      <w:r>
        <w:rPr>
          <w:rFonts w:hint="eastAsia" w:asciiTheme="minorEastAsia" w:hAnsiTheme="minorEastAsia" w:eastAsiaTheme="minorEastAsia"/>
          <w:sz w:val="28"/>
          <w:szCs w:val="28"/>
        </w:rPr>
        <w:t>签字或盖章</w:t>
      </w:r>
      <w:r>
        <w:rPr>
          <w:rFonts w:hint="eastAsia" w:cs="宋体" w:asciiTheme="minorEastAsia" w:hAnsiTheme="minorEastAsia" w:eastAsiaTheme="minorEastAsia"/>
          <w:sz w:val="28"/>
          <w:szCs w:val="28"/>
        </w:rPr>
        <w:t>）</w:t>
      </w:r>
    </w:p>
    <w:p>
      <w:pPr>
        <w:spacing w:line="276" w:lineRule="auto"/>
        <w:ind w:firstLine="2240" w:firstLineChars="800"/>
        <w:rPr>
          <w:rStyle w:val="46"/>
          <w:rFonts w:cs="宋体" w:asciiTheme="minorEastAsia" w:hAnsiTheme="minorEastAsia" w:eastAsiaTheme="minorEastAsia"/>
          <w:sz w:val="28"/>
          <w:szCs w:val="28"/>
        </w:rPr>
      </w:pPr>
      <w:r>
        <w:rPr>
          <w:rFonts w:hint="eastAsia" w:asciiTheme="minorEastAsia" w:hAnsiTheme="minorEastAsia" w:eastAsiaTheme="minorEastAsia"/>
          <w:sz w:val="28"/>
          <w:szCs w:val="28"/>
        </w:rPr>
        <w:t>日  期：    年    月     日</w:t>
      </w:r>
    </w:p>
    <w:p>
      <w:pPr>
        <w:pStyle w:val="3"/>
        <w:spacing w:before="0" w:after="0" w:line="360" w:lineRule="auto"/>
        <w:jc w:val="center"/>
        <w:rPr>
          <w:rFonts w:ascii="仿宋" w:hAnsi="仿宋" w:eastAsia="仿宋"/>
          <w:b w:val="0"/>
          <w:bCs w:val="0"/>
          <w:sz w:val="28"/>
          <w:szCs w:val="28"/>
        </w:rPr>
      </w:pPr>
      <w:bookmarkStart w:id="35" w:name="_Toc40341733"/>
      <w:r>
        <w:rPr>
          <w:rFonts w:asciiTheme="minorEastAsia" w:hAnsiTheme="minorEastAsia" w:eastAsiaTheme="minorEastAsia"/>
          <w:b w:val="0"/>
          <w:bCs w:val="0"/>
          <w:sz w:val="28"/>
          <w:szCs w:val="28"/>
        </w:rPr>
        <w:tab/>
      </w:r>
      <w:r>
        <w:rPr>
          <w:rFonts w:asciiTheme="minorEastAsia" w:hAnsiTheme="minorEastAsia" w:eastAsiaTheme="minorEastAsia"/>
          <w:b w:val="0"/>
          <w:bCs w:val="0"/>
          <w:sz w:val="28"/>
          <w:szCs w:val="28"/>
        </w:rPr>
        <w:tab/>
      </w:r>
      <w:bookmarkStart w:id="36" w:name="_Toc75967564"/>
      <w:bookmarkStart w:id="37" w:name="_Toc76044130"/>
      <w:r>
        <w:rPr>
          <w:rFonts w:hint="eastAsia" w:asciiTheme="minorEastAsia" w:hAnsiTheme="minorEastAsia" w:eastAsiaTheme="minorEastAsia"/>
          <w:b w:val="0"/>
          <w:bCs w:val="0"/>
          <w:sz w:val="28"/>
          <w:szCs w:val="28"/>
        </w:rPr>
        <w:t>六、</w:t>
      </w:r>
      <w:r>
        <w:rPr>
          <w:rFonts w:hint="eastAsia" w:ascii="仿宋" w:hAnsi="仿宋" w:eastAsia="仿宋"/>
          <w:bCs w:val="0"/>
        </w:rPr>
        <w:t>标书费付款凭证</w:t>
      </w:r>
      <w:bookmarkEnd w:id="36"/>
      <w:bookmarkEnd w:id="37"/>
    </w:p>
    <w:p>
      <w:pPr>
        <w:rPr>
          <w:rFonts w:asciiTheme="minorEastAsia" w:hAnsiTheme="minorEastAsia" w:eastAsiaTheme="minorEastAsia"/>
          <w:sz w:val="28"/>
          <w:szCs w:val="28"/>
        </w:rPr>
      </w:pPr>
      <w:r>
        <w:rPr>
          <w:rFonts w:hint="eastAsia" w:asciiTheme="minorEastAsia" w:hAnsiTheme="minorEastAsia" w:eastAsiaTheme="minorEastAsia"/>
          <w:sz w:val="28"/>
          <w:szCs w:val="28"/>
        </w:rPr>
        <w:t>致：衡阳华菱钢管</w:t>
      </w:r>
      <w:r>
        <w:rPr>
          <w:rFonts w:asciiTheme="minorEastAsia" w:hAnsiTheme="minorEastAsia" w:eastAsiaTheme="minorEastAsia"/>
          <w:sz w:val="28"/>
          <w:szCs w:val="28"/>
        </w:rPr>
        <w:t>/</w:t>
      </w:r>
      <w:r>
        <w:rPr>
          <w:rFonts w:hint="eastAsia" w:asciiTheme="minorEastAsia" w:hAnsiTheme="minorEastAsia" w:eastAsiaTheme="minorEastAsia"/>
          <w:sz w:val="28"/>
          <w:szCs w:val="28"/>
        </w:rPr>
        <w:t>连轧管有限公司</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根据贵方本项目投标邀请书规定，我方已按规定缴纳标书费。交款凭证见下表：</w:t>
      </w:r>
    </w:p>
    <w:p>
      <w:pPr>
        <w:rPr>
          <w:rFonts w:asciiTheme="minorEastAsia" w:hAnsiTheme="minorEastAsia" w:eastAsiaTheme="minorEastAsia"/>
          <w:sz w:val="28"/>
          <w:szCs w:val="28"/>
        </w:rPr>
      </w:pPr>
    </w:p>
    <w:tbl>
      <w:tblPr>
        <w:tblStyle w:val="37"/>
        <w:tblpPr w:leftFromText="180" w:rightFromText="180" w:vertAnchor="text" w:horzAnchor="margin" w:tblpXSpec="center" w:tblpY="57"/>
        <w:tblW w:w="9180" w:type="dxa"/>
        <w:tblInd w:w="0"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7085" w:hRule="atLeast"/>
        </w:trPr>
        <w:tc>
          <w:tcPr>
            <w:tcW w:w="9180" w:type="dxa"/>
            <w:tcBorders>
              <w:top w:val="single" w:color="auto" w:sz="4" w:space="0"/>
              <w:bottom w:val="single" w:color="auto" w:sz="12" w:space="0"/>
            </w:tcBorders>
          </w:tcPr>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r>
              <w:rPr>
                <w:rFonts w:hint="eastAsia" w:asciiTheme="minorEastAsia" w:hAnsiTheme="minorEastAsia" w:eastAsiaTheme="minorEastAsia"/>
                <w:sz w:val="28"/>
                <w:szCs w:val="28"/>
              </w:rPr>
              <w:t>付款凭证粘贴处；</w:t>
            </w:r>
          </w:p>
          <w:p>
            <w:pPr>
              <w:rPr>
                <w:rFonts w:asciiTheme="minorEastAsia" w:hAnsiTheme="minorEastAsia" w:eastAsiaTheme="minorEastAsia"/>
                <w:sz w:val="28"/>
                <w:szCs w:val="28"/>
              </w:rPr>
            </w:pPr>
          </w:p>
        </w:tc>
      </w:tr>
    </w:tbl>
    <w:p>
      <w:pPr>
        <w:rPr>
          <w:rFonts w:asciiTheme="minorEastAsia" w:hAnsiTheme="minorEastAsia" w:eastAsiaTheme="minorEastAsia"/>
          <w:sz w:val="28"/>
          <w:szCs w:val="28"/>
        </w:rPr>
      </w:pPr>
    </w:p>
    <w:p>
      <w:pPr>
        <w:ind w:firstLine="1400" w:firstLineChars="500"/>
        <w:rPr>
          <w:rFonts w:asciiTheme="minorEastAsia" w:hAnsiTheme="minorEastAsia" w:eastAsiaTheme="minorEastAsia"/>
          <w:sz w:val="28"/>
          <w:szCs w:val="28"/>
        </w:rPr>
      </w:pPr>
      <w:r>
        <w:rPr>
          <w:rFonts w:hint="eastAsia" w:asciiTheme="minorEastAsia" w:hAnsiTheme="minorEastAsia" w:eastAsiaTheme="minorEastAsia"/>
          <w:sz w:val="28"/>
          <w:szCs w:val="28"/>
        </w:rPr>
        <w:t>投标人：（盖单位公章）</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法定代表人或其委托代理人：（签字或盖章）</w:t>
      </w:r>
    </w:p>
    <w:p>
      <w:pPr>
        <w:ind w:firstLine="1400" w:firstLineChars="500"/>
      </w:pPr>
      <w:r>
        <w:rPr>
          <w:rFonts w:hint="eastAsia" w:asciiTheme="minorEastAsia" w:hAnsiTheme="minorEastAsia" w:eastAsiaTheme="minorEastAsia"/>
          <w:sz w:val="28"/>
          <w:szCs w:val="28"/>
        </w:rPr>
        <w:t>日 期：年月日</w:t>
      </w:r>
    </w:p>
    <w:p>
      <w:pPr>
        <w:pStyle w:val="3"/>
        <w:tabs>
          <w:tab w:val="left" w:pos="2775"/>
          <w:tab w:val="center" w:pos="4451"/>
        </w:tabs>
        <w:spacing w:before="0" w:after="0" w:line="360" w:lineRule="auto"/>
        <w:jc w:val="left"/>
        <w:rPr>
          <w:rFonts w:asciiTheme="minorEastAsia" w:hAnsiTheme="minorEastAsia" w:eastAsiaTheme="minorEastAsia"/>
          <w:b w:val="0"/>
          <w:bCs w:val="0"/>
          <w:sz w:val="28"/>
          <w:szCs w:val="28"/>
        </w:rPr>
      </w:pPr>
    </w:p>
    <w:p/>
    <w:p/>
    <w:p/>
    <w:p/>
    <w:p/>
    <w:p/>
    <w:p/>
    <w:p/>
    <w:p/>
    <w:p/>
    <w:p>
      <w:pPr>
        <w:pStyle w:val="3"/>
        <w:tabs>
          <w:tab w:val="left" w:pos="2775"/>
          <w:tab w:val="center" w:pos="4451"/>
        </w:tabs>
        <w:spacing w:before="0" w:after="0" w:line="360" w:lineRule="auto"/>
        <w:ind w:firstLine="2660" w:firstLineChars="950"/>
        <w:jc w:val="left"/>
        <w:rPr>
          <w:rStyle w:val="39"/>
          <w:rFonts w:asciiTheme="minorEastAsia" w:hAnsiTheme="minorEastAsia" w:eastAsiaTheme="minorEastAsia"/>
          <w:b w:val="0"/>
          <w:bCs w:val="0"/>
          <w:color w:val="000000"/>
          <w:sz w:val="28"/>
        </w:rPr>
      </w:pPr>
      <w:r>
        <w:rPr>
          <w:rFonts w:hint="eastAsia" w:asciiTheme="minorEastAsia" w:hAnsiTheme="minorEastAsia" w:eastAsiaTheme="minorEastAsia"/>
          <w:b w:val="0"/>
          <w:bCs w:val="0"/>
          <w:sz w:val="28"/>
          <w:szCs w:val="28"/>
        </w:rPr>
        <w:t>七、</w:t>
      </w:r>
      <w:r>
        <w:rPr>
          <w:rStyle w:val="39"/>
          <w:rFonts w:hint="eastAsia" w:asciiTheme="minorEastAsia" w:hAnsiTheme="minorEastAsia" w:eastAsiaTheme="minorEastAsia"/>
          <w:b w:val="0"/>
          <w:bCs w:val="0"/>
          <w:color w:val="000000"/>
          <w:sz w:val="28"/>
        </w:rPr>
        <w:t>投标单位开票信息表</w:t>
      </w:r>
      <w:bookmarkEnd w:id="35"/>
    </w:p>
    <w:p>
      <w:pPr>
        <w:tabs>
          <w:tab w:val="left" w:pos="4845"/>
        </w:tabs>
        <w:spacing w:line="5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致：衡阳华菱钢管/连轧管有限公司</w:t>
      </w:r>
      <w:r>
        <w:rPr>
          <w:rFonts w:asciiTheme="minorEastAsia" w:hAnsiTheme="minorEastAsia" w:eastAsiaTheme="minorEastAsia"/>
          <w:sz w:val="28"/>
          <w:szCs w:val="28"/>
        </w:rPr>
        <w:tab/>
      </w:r>
    </w:p>
    <w:p>
      <w:pPr>
        <w:spacing w:line="500" w:lineRule="exact"/>
        <w:ind w:firstLine="700" w:firstLineChars="250"/>
        <w:rPr>
          <w:rFonts w:asciiTheme="minorEastAsia" w:hAnsiTheme="minorEastAsia" w:eastAsiaTheme="minorEastAsia"/>
          <w:sz w:val="28"/>
          <w:szCs w:val="28"/>
        </w:rPr>
      </w:pPr>
      <w:r>
        <w:rPr>
          <w:rFonts w:hint="eastAsia" w:asciiTheme="minorEastAsia" w:hAnsiTheme="minorEastAsia" w:eastAsiaTheme="minorEastAsia"/>
          <w:sz w:val="28"/>
          <w:szCs w:val="28"/>
        </w:rPr>
        <w:t>根据贵方</w:t>
      </w:r>
      <w:r>
        <w:rPr>
          <w:rFonts w:hint="eastAsia" w:asciiTheme="minorEastAsia" w:hAnsiTheme="minorEastAsia" w:eastAsiaTheme="minorEastAsia"/>
          <w:b/>
          <w:bCs/>
          <w:sz w:val="28"/>
          <w:szCs w:val="28"/>
          <w:u w:val="single"/>
        </w:rPr>
        <w:t>202</w:t>
      </w:r>
      <w:r>
        <w:rPr>
          <w:rFonts w:hint="eastAsia" w:asciiTheme="minorEastAsia" w:hAnsiTheme="minorEastAsia" w:eastAsiaTheme="minorEastAsia"/>
          <w:b/>
          <w:bCs/>
          <w:sz w:val="28"/>
          <w:szCs w:val="28"/>
          <w:u w:val="single"/>
          <w:lang w:val="en-US" w:eastAsia="zh-CN"/>
        </w:rPr>
        <w:t>4</w:t>
      </w:r>
      <w:r>
        <w:rPr>
          <w:rFonts w:hint="eastAsia" w:asciiTheme="minorEastAsia" w:hAnsiTheme="minorEastAsia" w:eastAsiaTheme="minorEastAsia"/>
          <w:b/>
          <w:bCs/>
          <w:sz w:val="28"/>
          <w:szCs w:val="28"/>
          <w:u w:val="single"/>
        </w:rPr>
        <w:t>年</w:t>
      </w:r>
      <w:r>
        <w:rPr>
          <w:rFonts w:hint="eastAsia" w:asciiTheme="minorEastAsia" w:hAnsiTheme="minorEastAsia" w:eastAsiaTheme="minorEastAsia"/>
          <w:b/>
          <w:bCs/>
          <w:sz w:val="28"/>
          <w:szCs w:val="28"/>
          <w:u w:val="single"/>
          <w:lang w:val="en-US" w:eastAsia="zh-CN"/>
        </w:rPr>
        <w:t>1-6</w:t>
      </w:r>
      <w:r>
        <w:rPr>
          <w:rFonts w:hint="eastAsia" w:asciiTheme="minorEastAsia" w:hAnsiTheme="minorEastAsia" w:eastAsiaTheme="minorEastAsia"/>
          <w:b/>
          <w:bCs/>
          <w:sz w:val="28"/>
          <w:szCs w:val="28"/>
          <w:u w:val="single"/>
        </w:rPr>
        <w:t>月炼钢炼铁用</w:t>
      </w:r>
      <w:r>
        <w:rPr>
          <w:rFonts w:hint="eastAsia" w:ascii="宋体" w:hAnsi="宋体" w:cs="宋体"/>
          <w:b/>
          <w:bCs/>
          <w:sz w:val="28"/>
          <w:szCs w:val="28"/>
          <w:u w:val="single"/>
        </w:rPr>
        <w:t>保温覆盖剂（碳化稻壳型）</w:t>
      </w:r>
      <w:r>
        <w:rPr>
          <w:rFonts w:hint="eastAsia" w:asciiTheme="minorEastAsia" w:hAnsiTheme="minorEastAsia" w:eastAsiaTheme="minorEastAsia"/>
          <w:sz w:val="28"/>
          <w:szCs w:val="28"/>
          <w:u w:val="single"/>
        </w:rPr>
        <w:t>项目</w:t>
      </w:r>
      <w:r>
        <w:rPr>
          <w:rFonts w:hint="eastAsia" w:asciiTheme="minorEastAsia" w:hAnsiTheme="minorEastAsia" w:eastAsiaTheme="minorEastAsia"/>
          <w:sz w:val="28"/>
          <w:szCs w:val="28"/>
        </w:rPr>
        <w:t>招标文件</w:t>
      </w:r>
      <w:bookmarkStart w:id="54" w:name="_GoBack"/>
      <w:r>
        <w:rPr>
          <w:rFonts w:hint="eastAsia" w:asciiTheme="minorEastAsia" w:hAnsiTheme="minorEastAsia" w:eastAsiaTheme="minorEastAsia"/>
          <w:b/>
          <w:bCs/>
          <w:sz w:val="28"/>
          <w:szCs w:val="28"/>
          <w:u w:val="single"/>
        </w:rPr>
        <w:t>HGJY-G2023194</w:t>
      </w:r>
      <w:bookmarkEnd w:id="54"/>
      <w:r>
        <w:rPr>
          <w:rFonts w:hint="eastAsia" w:asciiTheme="minorEastAsia" w:hAnsiTheme="minorEastAsia" w:eastAsiaTheme="minorEastAsia"/>
          <w:sz w:val="28"/>
          <w:szCs w:val="28"/>
        </w:rPr>
        <w:t xml:space="preserve">（项目编号）规定，我方承诺填报开票信息内容均真实、准确、有效。如我方中标，并按规定交纳中标服务费，是否需要向招标方申领票据。（ </w:t>
      </w:r>
      <w:r>
        <w:rPr>
          <w:rFonts w:hint="eastAsia" w:asciiTheme="minorEastAsia" w:hAnsiTheme="minorEastAsia" w:eastAsiaTheme="minorEastAsia"/>
          <w:bCs/>
          <w:sz w:val="28"/>
          <w:szCs w:val="28"/>
        </w:rPr>
        <w:t>□是</w:t>
      </w: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rPr>
        <w:t>□</w:t>
      </w:r>
      <w:r>
        <w:rPr>
          <w:rFonts w:hint="eastAsia" w:asciiTheme="minorEastAsia" w:hAnsiTheme="minorEastAsia" w:eastAsiaTheme="minorEastAsia"/>
          <w:sz w:val="28"/>
          <w:szCs w:val="28"/>
        </w:rPr>
        <w:t>否；</w:t>
      </w:r>
      <w:r>
        <w:rPr>
          <w:rFonts w:hint="eastAsia" w:asciiTheme="minorEastAsia" w:hAnsiTheme="minorEastAsia" w:eastAsiaTheme="minorEastAsia"/>
          <w:b/>
          <w:bCs/>
          <w:sz w:val="28"/>
          <w:szCs w:val="28"/>
        </w:rPr>
        <w:t>□中√选</w:t>
      </w:r>
      <w:r>
        <w:rPr>
          <w:rFonts w:hint="eastAsia" w:asciiTheme="minorEastAsia" w:hAnsiTheme="minorEastAsia" w:eastAsiaTheme="minorEastAsia"/>
          <w:sz w:val="28"/>
          <w:szCs w:val="28"/>
        </w:rPr>
        <w:t>）我方开票信息见下表：</w:t>
      </w:r>
    </w:p>
    <w:tbl>
      <w:tblPr>
        <w:tblStyle w:val="37"/>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77"/>
        <w:gridCol w:w="65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2377" w:type="dxa"/>
            <w:vAlign w:val="center"/>
          </w:tcPr>
          <w:p>
            <w:pPr>
              <w:spacing w:line="400" w:lineRule="exact"/>
              <w:jc w:val="cente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开票名称：</w:t>
            </w:r>
          </w:p>
        </w:tc>
        <w:tc>
          <w:tcPr>
            <w:tcW w:w="6520" w:type="dxa"/>
            <w:vAlign w:val="center"/>
          </w:tcPr>
          <w:p>
            <w:pPr>
              <w:spacing w:line="400" w:lineRule="exact"/>
              <w:jc w:val="center"/>
              <w:rPr>
                <w:rFonts w:asciiTheme="minorEastAsia" w:hAnsiTheme="minorEastAsia" w:eastAsiaTheme="minorEastAsia"/>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2377" w:type="dxa"/>
            <w:vAlign w:val="center"/>
          </w:tcPr>
          <w:p>
            <w:pPr>
              <w:spacing w:line="400" w:lineRule="exact"/>
              <w:jc w:val="cente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纳税人识别号：</w:t>
            </w:r>
          </w:p>
        </w:tc>
        <w:tc>
          <w:tcPr>
            <w:tcW w:w="6520" w:type="dxa"/>
            <w:vAlign w:val="center"/>
          </w:tcPr>
          <w:p>
            <w:pPr>
              <w:spacing w:line="400" w:lineRule="exact"/>
              <w:jc w:val="center"/>
              <w:rPr>
                <w:rFonts w:asciiTheme="minorEastAsia" w:hAnsiTheme="minorEastAsia" w:eastAsiaTheme="minorEastAsia"/>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2377" w:type="dxa"/>
            <w:vAlign w:val="center"/>
          </w:tcPr>
          <w:p>
            <w:pPr>
              <w:spacing w:line="400" w:lineRule="exact"/>
              <w:jc w:val="cente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地址：</w:t>
            </w:r>
          </w:p>
        </w:tc>
        <w:tc>
          <w:tcPr>
            <w:tcW w:w="6520" w:type="dxa"/>
            <w:vAlign w:val="center"/>
          </w:tcPr>
          <w:p>
            <w:pPr>
              <w:spacing w:line="400" w:lineRule="exact"/>
              <w:jc w:val="center"/>
              <w:rPr>
                <w:rFonts w:asciiTheme="minorEastAsia" w:hAnsiTheme="minorEastAsia" w:eastAsiaTheme="minorEastAsia"/>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377" w:type="dxa"/>
            <w:vAlign w:val="center"/>
          </w:tcPr>
          <w:p>
            <w:pPr>
              <w:spacing w:line="400" w:lineRule="exact"/>
              <w:jc w:val="cente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固定电话：</w:t>
            </w:r>
          </w:p>
        </w:tc>
        <w:tc>
          <w:tcPr>
            <w:tcW w:w="6520" w:type="dxa"/>
            <w:vAlign w:val="center"/>
          </w:tcPr>
          <w:p>
            <w:pPr>
              <w:spacing w:line="400" w:lineRule="exact"/>
              <w:jc w:val="center"/>
              <w:rPr>
                <w:rFonts w:asciiTheme="minorEastAsia" w:hAnsiTheme="minorEastAsia" w:eastAsiaTheme="minorEastAsia"/>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2377" w:type="dxa"/>
            <w:vAlign w:val="center"/>
          </w:tcPr>
          <w:p>
            <w:pPr>
              <w:spacing w:line="400" w:lineRule="exact"/>
              <w:jc w:val="cente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开户银行：</w:t>
            </w:r>
          </w:p>
        </w:tc>
        <w:tc>
          <w:tcPr>
            <w:tcW w:w="6520" w:type="dxa"/>
            <w:vAlign w:val="center"/>
          </w:tcPr>
          <w:p>
            <w:pPr>
              <w:spacing w:line="400" w:lineRule="exact"/>
              <w:jc w:val="center"/>
              <w:rPr>
                <w:rFonts w:asciiTheme="minorEastAsia" w:hAnsiTheme="minorEastAsia" w:eastAsiaTheme="minorEastAsia"/>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377" w:type="dxa"/>
            <w:vAlign w:val="center"/>
          </w:tcPr>
          <w:p>
            <w:pPr>
              <w:jc w:val="cente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银行账号</w:t>
            </w:r>
          </w:p>
        </w:tc>
        <w:tc>
          <w:tcPr>
            <w:tcW w:w="6520" w:type="dxa"/>
            <w:vAlign w:val="center"/>
          </w:tcPr>
          <w:p>
            <w:pPr>
              <w:spacing w:line="400" w:lineRule="exact"/>
              <w:jc w:val="center"/>
              <w:rPr>
                <w:rFonts w:asciiTheme="minorEastAsia" w:hAnsiTheme="minorEastAsia" w:eastAsiaTheme="minorEastAsia"/>
                <w:color w:val="000000"/>
                <w:sz w:val="28"/>
                <w:szCs w:val="28"/>
              </w:rPr>
            </w:pPr>
          </w:p>
        </w:tc>
      </w:tr>
    </w:tbl>
    <w:p>
      <w:pPr>
        <w:snapToGrid w:val="0"/>
        <w:spacing w:line="360" w:lineRule="auto"/>
        <w:ind w:right="560" w:firstLine="2240" w:firstLineChars="800"/>
        <w:rPr>
          <w:rFonts w:cs="宋体" w:asciiTheme="minorEastAsia" w:hAnsiTheme="minorEastAsia" w:eastAsiaTheme="minorEastAsia"/>
          <w:sz w:val="28"/>
          <w:szCs w:val="28"/>
        </w:rPr>
      </w:pPr>
    </w:p>
    <w:p>
      <w:pPr>
        <w:snapToGrid w:val="0"/>
        <w:spacing w:line="360" w:lineRule="auto"/>
        <w:ind w:right="560" w:firstLine="1820" w:firstLineChars="65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投标人 ： （盖单位公章）</w:t>
      </w:r>
    </w:p>
    <w:p>
      <w:pPr>
        <w:wordWrap w:val="0"/>
        <w:snapToGrid w:val="0"/>
        <w:spacing w:line="360" w:lineRule="auto"/>
        <w:ind w:right="560" w:firstLine="1680" w:firstLineChars="6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 法定代表人或其委托代理人：      （</w:t>
      </w:r>
      <w:r>
        <w:rPr>
          <w:rFonts w:hint="eastAsia" w:asciiTheme="minorEastAsia" w:hAnsiTheme="minorEastAsia" w:eastAsiaTheme="minorEastAsia"/>
          <w:sz w:val="28"/>
          <w:szCs w:val="28"/>
        </w:rPr>
        <w:t>签字或盖章</w:t>
      </w:r>
      <w:r>
        <w:rPr>
          <w:rFonts w:hint="eastAsia" w:cs="宋体" w:asciiTheme="minorEastAsia" w:hAnsiTheme="minorEastAsia" w:eastAsiaTheme="minorEastAsia"/>
          <w:sz w:val="28"/>
          <w:szCs w:val="28"/>
        </w:rPr>
        <w:t>）</w:t>
      </w:r>
    </w:p>
    <w:p>
      <w:pPr>
        <w:spacing w:line="276" w:lineRule="auto"/>
        <w:rPr>
          <w:rStyle w:val="46"/>
          <w:rFonts w:cs="宋体" w:asciiTheme="minorEastAsia" w:hAnsiTheme="minorEastAsia" w:eastAsiaTheme="minorEastAsia"/>
          <w:sz w:val="28"/>
          <w:szCs w:val="28"/>
        </w:rPr>
      </w:pPr>
      <w:r>
        <w:rPr>
          <w:rFonts w:hint="eastAsia" w:asciiTheme="minorEastAsia" w:hAnsiTheme="minorEastAsia" w:eastAsiaTheme="minorEastAsia"/>
          <w:sz w:val="28"/>
          <w:szCs w:val="28"/>
        </w:rPr>
        <w:t xml:space="preserve">             日  期：     年     月     日</w:t>
      </w:r>
    </w:p>
    <w:p>
      <w:pPr>
        <w:spacing w:line="400" w:lineRule="exact"/>
        <w:jc w:val="center"/>
        <w:rPr>
          <w:rStyle w:val="39"/>
          <w:rFonts w:asciiTheme="minorEastAsia" w:hAnsiTheme="minorEastAsia" w:eastAsiaTheme="minorEastAsia"/>
          <w:b w:val="0"/>
          <w:color w:val="000000"/>
          <w:sz w:val="28"/>
        </w:rPr>
      </w:pPr>
    </w:p>
    <w:p>
      <w:pPr>
        <w:spacing w:line="400" w:lineRule="exact"/>
        <w:jc w:val="center"/>
        <w:rPr>
          <w:rStyle w:val="39"/>
          <w:rFonts w:asciiTheme="minorEastAsia" w:hAnsiTheme="minorEastAsia" w:eastAsiaTheme="minorEastAsia"/>
          <w:b w:val="0"/>
          <w:color w:val="000000"/>
          <w:sz w:val="28"/>
        </w:rPr>
      </w:pPr>
    </w:p>
    <w:p>
      <w:pPr>
        <w:spacing w:line="400" w:lineRule="exact"/>
        <w:jc w:val="center"/>
        <w:rPr>
          <w:rStyle w:val="39"/>
          <w:rFonts w:asciiTheme="minorEastAsia" w:hAnsiTheme="minorEastAsia" w:eastAsiaTheme="minorEastAsia"/>
          <w:b w:val="0"/>
          <w:color w:val="000000"/>
          <w:sz w:val="28"/>
        </w:rPr>
      </w:pPr>
    </w:p>
    <w:p>
      <w:pPr>
        <w:spacing w:line="400" w:lineRule="exact"/>
        <w:jc w:val="center"/>
        <w:rPr>
          <w:rStyle w:val="39"/>
          <w:rFonts w:asciiTheme="minorEastAsia" w:hAnsiTheme="minorEastAsia" w:eastAsiaTheme="minorEastAsia"/>
          <w:b w:val="0"/>
          <w:color w:val="000000"/>
          <w:sz w:val="28"/>
        </w:rPr>
      </w:pPr>
    </w:p>
    <w:p>
      <w:pPr>
        <w:spacing w:line="400" w:lineRule="exact"/>
        <w:jc w:val="center"/>
        <w:rPr>
          <w:rStyle w:val="39"/>
          <w:rFonts w:asciiTheme="minorEastAsia" w:hAnsiTheme="minorEastAsia" w:eastAsiaTheme="minorEastAsia"/>
          <w:b w:val="0"/>
          <w:color w:val="000000"/>
          <w:sz w:val="28"/>
        </w:rPr>
      </w:pPr>
    </w:p>
    <w:p>
      <w:pPr>
        <w:spacing w:line="400" w:lineRule="exact"/>
        <w:jc w:val="center"/>
        <w:rPr>
          <w:rStyle w:val="39"/>
          <w:rFonts w:asciiTheme="minorEastAsia" w:hAnsiTheme="minorEastAsia" w:eastAsiaTheme="minorEastAsia"/>
          <w:b w:val="0"/>
          <w:color w:val="000000"/>
          <w:sz w:val="28"/>
        </w:rPr>
      </w:pPr>
    </w:p>
    <w:p>
      <w:pPr>
        <w:spacing w:line="400" w:lineRule="exact"/>
        <w:jc w:val="center"/>
        <w:rPr>
          <w:rStyle w:val="39"/>
          <w:rFonts w:asciiTheme="minorEastAsia" w:hAnsiTheme="minorEastAsia" w:eastAsiaTheme="minorEastAsia"/>
          <w:b w:val="0"/>
          <w:color w:val="000000"/>
          <w:sz w:val="28"/>
        </w:rPr>
      </w:pPr>
    </w:p>
    <w:p>
      <w:pPr>
        <w:spacing w:line="400" w:lineRule="exact"/>
        <w:jc w:val="center"/>
        <w:rPr>
          <w:rStyle w:val="39"/>
          <w:rFonts w:asciiTheme="minorEastAsia" w:hAnsiTheme="minorEastAsia" w:eastAsiaTheme="minorEastAsia"/>
          <w:b w:val="0"/>
          <w:color w:val="000000"/>
          <w:sz w:val="28"/>
        </w:rPr>
      </w:pPr>
    </w:p>
    <w:p>
      <w:pPr>
        <w:spacing w:line="400" w:lineRule="exact"/>
        <w:jc w:val="center"/>
        <w:rPr>
          <w:rStyle w:val="39"/>
          <w:rFonts w:asciiTheme="minorEastAsia" w:hAnsiTheme="minorEastAsia" w:eastAsiaTheme="minorEastAsia"/>
          <w:b w:val="0"/>
          <w:color w:val="000000"/>
          <w:sz w:val="28"/>
        </w:rPr>
      </w:pPr>
    </w:p>
    <w:p>
      <w:pPr>
        <w:spacing w:line="400" w:lineRule="exact"/>
        <w:jc w:val="center"/>
        <w:rPr>
          <w:rStyle w:val="39"/>
          <w:rFonts w:asciiTheme="minorEastAsia" w:hAnsiTheme="minorEastAsia" w:eastAsiaTheme="minorEastAsia"/>
          <w:b w:val="0"/>
          <w:color w:val="000000"/>
          <w:sz w:val="28"/>
        </w:rPr>
      </w:pPr>
    </w:p>
    <w:p>
      <w:pPr>
        <w:spacing w:line="400" w:lineRule="exact"/>
        <w:jc w:val="center"/>
        <w:rPr>
          <w:rStyle w:val="39"/>
          <w:rFonts w:asciiTheme="minorEastAsia" w:hAnsiTheme="minorEastAsia" w:eastAsiaTheme="minorEastAsia"/>
          <w:b w:val="0"/>
          <w:color w:val="000000"/>
          <w:sz w:val="28"/>
        </w:rPr>
      </w:pPr>
    </w:p>
    <w:p>
      <w:pPr>
        <w:spacing w:line="400" w:lineRule="exact"/>
        <w:jc w:val="center"/>
        <w:rPr>
          <w:rStyle w:val="39"/>
          <w:rFonts w:asciiTheme="minorEastAsia" w:hAnsiTheme="minorEastAsia" w:eastAsiaTheme="minorEastAsia"/>
          <w:b w:val="0"/>
          <w:color w:val="000000"/>
          <w:sz w:val="28"/>
        </w:rPr>
      </w:pPr>
    </w:p>
    <w:p>
      <w:pPr>
        <w:pStyle w:val="27"/>
        <w:tabs>
          <w:tab w:val="right" w:leader="dot" w:pos="8720"/>
        </w:tabs>
        <w:ind w:left="0" w:leftChars="0"/>
        <w:jc w:val="left"/>
        <w:rPr>
          <w:rFonts w:cs="宋体" w:asciiTheme="minorEastAsia" w:hAnsiTheme="minorEastAsia" w:eastAsiaTheme="minorEastAsia"/>
          <w:sz w:val="28"/>
          <w:szCs w:val="28"/>
          <w:lang w:val="zh-CN"/>
        </w:rPr>
      </w:pPr>
    </w:p>
    <w:p>
      <w:pPr>
        <w:pStyle w:val="3"/>
        <w:numPr>
          <w:ilvl w:val="0"/>
          <w:numId w:val="19"/>
        </w:numPr>
        <w:spacing w:before="0" w:after="0" w:line="360" w:lineRule="auto"/>
        <w:jc w:val="center"/>
        <w:rPr>
          <w:rFonts w:asciiTheme="minorEastAsia" w:hAnsiTheme="minorEastAsia" w:eastAsiaTheme="minorEastAsia"/>
          <w:b w:val="0"/>
          <w:bCs w:val="0"/>
          <w:sz w:val="28"/>
          <w:szCs w:val="28"/>
        </w:rPr>
      </w:pPr>
      <w:bookmarkStart w:id="38" w:name="_Toc1544825"/>
      <w:bookmarkStart w:id="39" w:name="_Toc485718608"/>
      <w:bookmarkStart w:id="40" w:name="_Toc4308"/>
      <w:bookmarkStart w:id="41" w:name="_Toc479587994"/>
      <w:bookmarkStart w:id="42" w:name="_Toc14168"/>
      <w:bookmarkStart w:id="43" w:name="_Toc498065858"/>
      <w:bookmarkStart w:id="44" w:name="_Toc11139"/>
      <w:bookmarkStart w:id="45" w:name="_Toc494274201"/>
      <w:bookmarkStart w:id="46" w:name="_Toc5430"/>
      <w:bookmarkStart w:id="47" w:name="_Toc482194984"/>
      <w:bookmarkStart w:id="48" w:name="_Toc482193558"/>
      <w:bookmarkStart w:id="49" w:name="_Toc7669"/>
      <w:bookmarkStart w:id="50" w:name="_Toc494275662"/>
      <w:bookmarkStart w:id="51" w:name="_Toc19191"/>
      <w:r>
        <w:rPr>
          <w:rFonts w:hint="eastAsia" w:asciiTheme="minorEastAsia" w:hAnsiTheme="minorEastAsia" w:eastAsiaTheme="minorEastAsia"/>
          <w:b w:val="0"/>
          <w:bCs w:val="0"/>
          <w:sz w:val="28"/>
          <w:szCs w:val="28"/>
        </w:rPr>
        <w:t>开标一览表</w:t>
      </w:r>
      <w:bookmarkEnd w:id="38"/>
    </w:p>
    <w:p/>
    <w:p/>
    <w:p>
      <w:pPr>
        <w:tabs>
          <w:tab w:val="left" w:pos="6420"/>
        </w:tabs>
      </w:pPr>
      <w:r>
        <w:tab/>
      </w:r>
    </w:p>
    <w:p>
      <w:pPr>
        <w:pStyle w:val="3"/>
        <w:snapToGrid w:val="0"/>
        <w:spacing w:before="0" w:after="0" w:line="288" w:lineRule="auto"/>
        <w:rPr>
          <w:rFonts w:cs="宋体" w:asciiTheme="minorEastAsia" w:hAnsiTheme="minorEastAsia" w:eastAsiaTheme="minorEastAsia"/>
          <w:b w:val="0"/>
          <w:bCs w:val="0"/>
          <w:sz w:val="28"/>
          <w:szCs w:val="28"/>
        </w:rPr>
      </w:pPr>
      <w:bookmarkStart w:id="52" w:name="_Toc1544826"/>
      <w:r>
        <w:rPr>
          <w:rFonts w:hint="eastAsia" w:cs="宋体" w:asciiTheme="minorEastAsia" w:hAnsiTheme="minorEastAsia" w:eastAsiaTheme="minorEastAsia"/>
          <w:b w:val="0"/>
          <w:bCs w:val="0"/>
          <w:sz w:val="28"/>
          <w:szCs w:val="28"/>
        </w:rPr>
        <w:t>详见EXCEL版《开标一览表》。</w:t>
      </w:r>
      <w:bookmarkEnd w:id="52"/>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pStyle w:val="3"/>
        <w:spacing w:before="0" w:after="0" w:line="360" w:lineRule="auto"/>
        <w:jc w:val="center"/>
        <w:rPr>
          <w:rFonts w:asciiTheme="minorEastAsia" w:hAnsiTheme="minorEastAsia" w:eastAsiaTheme="minorEastAsia"/>
          <w:b w:val="0"/>
          <w:bCs w:val="0"/>
          <w:sz w:val="28"/>
          <w:szCs w:val="28"/>
        </w:rPr>
      </w:pPr>
      <w:bookmarkStart w:id="53" w:name="_Toc1544827"/>
      <w:r>
        <w:rPr>
          <w:rFonts w:hint="eastAsia" w:asciiTheme="minorEastAsia" w:hAnsiTheme="minorEastAsia" w:eastAsiaTheme="minorEastAsia"/>
          <w:b w:val="0"/>
          <w:bCs w:val="0"/>
          <w:sz w:val="28"/>
          <w:szCs w:val="28"/>
        </w:rPr>
        <w:t>二.商务/技术偏离表</w:t>
      </w:r>
      <w:bookmarkEnd w:id="53"/>
    </w:p>
    <w:p>
      <w:pPr>
        <w:pStyle w:val="3"/>
        <w:snapToGrid w:val="0"/>
        <w:spacing w:before="0" w:after="0" w:line="288" w:lineRule="auto"/>
        <w:rPr>
          <w:rFonts w:cs="宋体" w:asciiTheme="minorEastAsia" w:hAnsiTheme="minorEastAsia" w:eastAsiaTheme="minorEastAsia"/>
          <w:b w:val="0"/>
          <w:bCs w:val="0"/>
          <w:sz w:val="28"/>
          <w:szCs w:val="28"/>
        </w:rPr>
      </w:pPr>
      <w:r>
        <w:rPr>
          <w:rFonts w:hint="eastAsia" w:cs="宋体" w:asciiTheme="minorEastAsia" w:hAnsiTheme="minorEastAsia" w:eastAsiaTheme="minorEastAsia"/>
          <w:b w:val="0"/>
          <w:bCs w:val="0"/>
          <w:sz w:val="28"/>
          <w:szCs w:val="28"/>
        </w:rPr>
        <w:t>详见EXCEL版《</w:t>
      </w:r>
      <w:r>
        <w:rPr>
          <w:rFonts w:hint="eastAsia" w:asciiTheme="minorEastAsia" w:hAnsiTheme="minorEastAsia" w:eastAsiaTheme="minorEastAsia"/>
          <w:b w:val="0"/>
          <w:bCs w:val="0"/>
          <w:sz w:val="28"/>
          <w:szCs w:val="28"/>
        </w:rPr>
        <w:t>商务/技术偏离表</w:t>
      </w:r>
      <w:r>
        <w:rPr>
          <w:rFonts w:hint="eastAsia" w:cs="宋体" w:asciiTheme="minorEastAsia" w:hAnsiTheme="minorEastAsia" w:eastAsiaTheme="minorEastAsia"/>
          <w:b w:val="0"/>
          <w:bCs w:val="0"/>
          <w:sz w:val="28"/>
          <w:szCs w:val="28"/>
        </w:rPr>
        <w:t>》。</w:t>
      </w:r>
    </w:p>
    <w:p>
      <w:pPr>
        <w:rPr>
          <w:rFonts w:cs="宋体" w:asciiTheme="minorEastAsia" w:hAnsiTheme="minorEastAsia" w:eastAsiaTheme="minorEastAsia"/>
          <w:sz w:val="28"/>
          <w:szCs w:val="28"/>
        </w:rPr>
      </w:pPr>
    </w:p>
    <w:bookmarkEnd w:id="39"/>
    <w:bookmarkEnd w:id="40"/>
    <w:bookmarkEnd w:id="41"/>
    <w:bookmarkEnd w:id="42"/>
    <w:bookmarkEnd w:id="43"/>
    <w:bookmarkEnd w:id="44"/>
    <w:bookmarkEnd w:id="45"/>
    <w:bookmarkEnd w:id="46"/>
    <w:bookmarkEnd w:id="47"/>
    <w:bookmarkEnd w:id="48"/>
    <w:bookmarkEnd w:id="49"/>
    <w:bookmarkEnd w:id="50"/>
    <w:bookmarkEnd w:id="51"/>
    <w:p>
      <w:pPr>
        <w:rPr>
          <w:rFonts w:cs="宋体" w:asciiTheme="minorEastAsia" w:hAnsiTheme="minorEastAsia" w:eastAsiaTheme="minorEastAsia"/>
          <w:sz w:val="28"/>
          <w:szCs w:val="28"/>
        </w:rPr>
      </w:pPr>
    </w:p>
    <w:sectPr>
      <w:footerReference r:id="rId4" w:type="default"/>
      <w:pgSz w:w="11907" w:h="16840"/>
      <w:pgMar w:top="1304" w:right="1304" w:bottom="1304" w:left="1701"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4"/>
                          </w:pPr>
                          <w:r>
                            <w:fldChar w:fldCharType="begin"/>
                          </w:r>
                          <w:r>
                            <w:instrText xml:space="preserve"> PAGE  \* MERGEFORMAT </w:instrText>
                          </w:r>
                          <w:r>
                            <w:fldChar w:fldCharType="separate"/>
                          </w:r>
                          <w:r>
                            <w:t>22</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lyTDzXAQAAsQ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vQFSWWGRz4+dfP8++/&#10;5z8/yDLJ03uoMeveY14cProBl2a+B7xMrAcZTPoiH4JxFPd0EVcMkfD0qFpVVYkhjrHZQfzi8bkP&#10;EO+EMyQZDQ04vSwqO36GOKbOKamadbdK6zxBbUmPqNfV++v84hJCdG1TssjLMOEkTmPvyYrDbpiI&#10;7lx7Qp49LkRDLe4/JfqTRb3T7sxGmI3dbBx8UPsuL1eqBf7DIWJzuedUYYRFrsnBSWbW09alVXnq&#10;56zHP23z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5ckw81wEAALEDAAAOAAAAAAAAAAEA&#10;IAAAACIBAABkcnMvZTJvRG9jLnhtbFBLBQYAAAAABgAGAFkBAABrBQAAAAA=&#10;">
              <v:fill on="f" focussize="0,0"/>
              <v:stroke on="f" weight="1.25pt"/>
              <v:imagedata o:title=""/>
              <o:lock v:ext="edit" aspectratio="f"/>
              <v:textbox inset="0mm,0mm,0mm,0mm" style="mso-fit-shape-to-text:t;">
                <w:txbxContent>
                  <w:p>
                    <w:pPr>
                      <w:pStyle w:val="2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pPr>
                            <w:pStyle w:val="24"/>
                            <w:rPr>
                              <w:rStyle w:val="40"/>
                              <w:rFonts w:ascii="宋体" w:hAnsi="宋体"/>
                              <w:sz w:val="21"/>
                              <w:szCs w:val="21"/>
                            </w:rPr>
                          </w:pPr>
                          <w:r>
                            <w:rPr>
                              <w:rFonts w:hint="eastAsia" w:ascii="宋体" w:hAnsi="宋体"/>
                              <w:sz w:val="21"/>
                              <w:szCs w:val="21"/>
                            </w:rPr>
                            <w:fldChar w:fldCharType="begin"/>
                          </w:r>
                          <w:r>
                            <w:rPr>
                              <w:rStyle w:val="40"/>
                              <w:rFonts w:hint="eastAsia" w:ascii="宋体" w:hAnsi="宋体"/>
                              <w:sz w:val="21"/>
                              <w:szCs w:val="21"/>
                            </w:rPr>
                            <w:instrText xml:space="preserve">PAGE  </w:instrText>
                          </w:r>
                          <w:r>
                            <w:rPr>
                              <w:rFonts w:hint="eastAsia" w:ascii="宋体" w:hAnsi="宋体"/>
                              <w:sz w:val="21"/>
                              <w:szCs w:val="21"/>
                            </w:rPr>
                            <w:fldChar w:fldCharType="separate"/>
                          </w:r>
                          <w:r>
                            <w:rPr>
                              <w:rStyle w:val="40"/>
                              <w:rFonts w:ascii="宋体" w:hAnsi="宋体"/>
                              <w:sz w:val="21"/>
                              <w:szCs w:val="21"/>
                            </w:rPr>
                            <w:t>26</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v:fill on="f" focussize="0,0"/>
              <v:stroke on="f"/>
              <v:imagedata o:title=""/>
              <o:lock v:ext="edit" aspectratio="f"/>
              <v:textbox inset="0mm,0mm,0mm,0mm" style="mso-fit-shape-to-text:t;">
                <w:txbxContent>
                  <w:p>
                    <w:pPr>
                      <w:pStyle w:val="24"/>
                      <w:rPr>
                        <w:rStyle w:val="40"/>
                        <w:rFonts w:ascii="宋体" w:hAnsi="宋体"/>
                        <w:sz w:val="21"/>
                        <w:szCs w:val="21"/>
                      </w:rPr>
                    </w:pPr>
                    <w:r>
                      <w:rPr>
                        <w:rFonts w:hint="eastAsia" w:ascii="宋体" w:hAnsi="宋体"/>
                        <w:sz w:val="21"/>
                        <w:szCs w:val="21"/>
                      </w:rPr>
                      <w:fldChar w:fldCharType="begin"/>
                    </w:r>
                    <w:r>
                      <w:rPr>
                        <w:rStyle w:val="40"/>
                        <w:rFonts w:hint="eastAsia" w:ascii="宋体" w:hAnsi="宋体"/>
                        <w:sz w:val="21"/>
                        <w:szCs w:val="21"/>
                      </w:rPr>
                      <w:instrText xml:space="preserve">PAGE  </w:instrText>
                    </w:r>
                    <w:r>
                      <w:rPr>
                        <w:rFonts w:hint="eastAsia" w:ascii="宋体" w:hAnsi="宋体"/>
                        <w:sz w:val="21"/>
                        <w:szCs w:val="21"/>
                      </w:rPr>
                      <w:fldChar w:fldCharType="separate"/>
                    </w:r>
                    <w:r>
                      <w:rPr>
                        <w:rStyle w:val="40"/>
                        <w:rFonts w:ascii="宋体" w:hAnsi="宋体"/>
                        <w:sz w:val="21"/>
                        <w:szCs w:val="21"/>
                      </w:rPr>
                      <w:t>26</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F625E"/>
    <w:multiLevelType w:val="multilevel"/>
    <w:tmpl w:val="023F625E"/>
    <w:lvl w:ilvl="0" w:tentative="0">
      <w:start w:val="5"/>
      <w:numFmt w:val="decimal"/>
      <w:lvlText w:val="%1."/>
      <w:lvlJc w:val="left"/>
      <w:pPr>
        <w:tabs>
          <w:tab w:val="left" w:pos="482"/>
        </w:tabs>
        <w:ind w:left="482" w:hanging="482"/>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1">
    <w:nsid w:val="1296257D"/>
    <w:multiLevelType w:val="multilevel"/>
    <w:tmpl w:val="1296257D"/>
    <w:lvl w:ilvl="0" w:tentative="0">
      <w:start w:val="9"/>
      <w:numFmt w:val="decimal"/>
      <w:lvlText w:val="%1."/>
      <w:lvlJc w:val="left"/>
      <w:pPr>
        <w:tabs>
          <w:tab w:val="left" w:pos="482"/>
        </w:tabs>
        <w:ind w:left="482" w:hanging="482"/>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2">
    <w:nsid w:val="17F256FB"/>
    <w:multiLevelType w:val="multilevel"/>
    <w:tmpl w:val="17F256FB"/>
    <w:lvl w:ilvl="0" w:tentative="0">
      <w:start w:val="7"/>
      <w:numFmt w:val="decimal"/>
      <w:lvlText w:val="%1."/>
      <w:lvlJc w:val="left"/>
      <w:pPr>
        <w:tabs>
          <w:tab w:val="left" w:pos="482"/>
        </w:tabs>
        <w:ind w:left="482" w:hanging="482"/>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3">
    <w:nsid w:val="1EC80F95"/>
    <w:multiLevelType w:val="multilevel"/>
    <w:tmpl w:val="1EC80F95"/>
    <w:lvl w:ilvl="0" w:tentative="0">
      <w:start w:val="1"/>
      <w:numFmt w:val="decimal"/>
      <w:lvlText w:val="%1、"/>
      <w:lvlJc w:val="left"/>
      <w:pPr>
        <w:tabs>
          <w:tab w:val="left" w:pos="851"/>
        </w:tabs>
        <w:ind w:left="851" w:hanging="511"/>
      </w:pPr>
      <w:rPr>
        <w:rFonts w:hint="eastAsia" w:eastAsia="宋体"/>
        <w:b w:val="0"/>
        <w:i w:val="0"/>
        <w:sz w:val="24"/>
        <w:szCs w:val="24"/>
      </w:rPr>
    </w:lvl>
    <w:lvl w:ilvl="1" w:tentative="0">
      <w:start w:val="1"/>
      <w:numFmt w:val="decimal"/>
      <w:lvlText w:val="（%2）"/>
      <w:lvlJc w:val="left"/>
      <w:pPr>
        <w:tabs>
          <w:tab w:val="left" w:pos="720"/>
        </w:tabs>
        <w:ind w:left="477" w:hanging="47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32F758D"/>
    <w:multiLevelType w:val="multilevel"/>
    <w:tmpl w:val="232F758D"/>
    <w:lvl w:ilvl="0" w:tentative="0">
      <w:start w:val="4"/>
      <w:numFmt w:val="decimal"/>
      <w:lvlText w:val="%1."/>
      <w:lvlJc w:val="left"/>
      <w:pPr>
        <w:tabs>
          <w:tab w:val="left" w:pos="360"/>
        </w:tabs>
        <w:ind w:left="300" w:hanging="300"/>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5">
    <w:nsid w:val="2C9E552F"/>
    <w:multiLevelType w:val="multilevel"/>
    <w:tmpl w:val="2C9E552F"/>
    <w:lvl w:ilvl="0" w:tentative="0">
      <w:start w:val="6"/>
      <w:numFmt w:val="decimal"/>
      <w:lvlText w:val="%1"/>
      <w:lvlJc w:val="left"/>
      <w:pPr>
        <w:tabs>
          <w:tab w:val="left" w:pos="432"/>
        </w:tabs>
        <w:ind w:left="432" w:hanging="432"/>
      </w:pPr>
      <w:rPr>
        <w:rFonts w:hint="eastAsia" w:eastAsia="宋体"/>
        <w:b/>
        <w:i w:val="0"/>
        <w:sz w:val="24"/>
      </w:rPr>
    </w:lvl>
    <w:lvl w:ilvl="1" w:tentative="0">
      <w:start w:val="1"/>
      <w:numFmt w:val="decimal"/>
      <w:isLgl/>
      <w:lvlText w:val="%1.%2"/>
      <w:lvlJc w:val="left"/>
      <w:pPr>
        <w:tabs>
          <w:tab w:val="left" w:pos="576"/>
        </w:tabs>
        <w:ind w:left="576" w:hanging="576"/>
      </w:pPr>
      <w:rPr>
        <w:rFonts w:hint="eastAsia" w:eastAsia="宋体"/>
        <w:b w:val="0"/>
        <w:i w:val="0"/>
        <w:sz w:val="24"/>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32077021"/>
    <w:multiLevelType w:val="multilevel"/>
    <w:tmpl w:val="32077021"/>
    <w:lvl w:ilvl="0" w:tentative="0">
      <w:start w:val="8"/>
      <w:numFmt w:val="decimal"/>
      <w:lvlText w:val="%1."/>
      <w:lvlJc w:val="left"/>
      <w:pPr>
        <w:tabs>
          <w:tab w:val="left" w:pos="482"/>
        </w:tabs>
        <w:ind w:left="482" w:hanging="482"/>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7">
    <w:nsid w:val="34141219"/>
    <w:multiLevelType w:val="multilevel"/>
    <w:tmpl w:val="34141219"/>
    <w:lvl w:ilvl="0" w:tentative="0">
      <w:start w:val="6"/>
      <w:numFmt w:val="decimal"/>
      <w:lvlText w:val="%1."/>
      <w:lvlJc w:val="left"/>
      <w:pPr>
        <w:tabs>
          <w:tab w:val="left" w:pos="482"/>
        </w:tabs>
        <w:ind w:left="482" w:hanging="482"/>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8">
    <w:nsid w:val="34490F14"/>
    <w:multiLevelType w:val="multilevel"/>
    <w:tmpl w:val="34490F14"/>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9">
    <w:nsid w:val="4BEA0717"/>
    <w:multiLevelType w:val="multilevel"/>
    <w:tmpl w:val="4BEA0717"/>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D9C0D13"/>
    <w:multiLevelType w:val="multilevel"/>
    <w:tmpl w:val="4D9C0D13"/>
    <w:lvl w:ilvl="0" w:tentative="0">
      <w:start w:val="10"/>
      <w:numFmt w:val="decimal"/>
      <w:lvlText w:val="%1."/>
      <w:lvlJc w:val="left"/>
      <w:pPr>
        <w:tabs>
          <w:tab w:val="left" w:pos="482"/>
        </w:tabs>
        <w:ind w:left="482" w:hanging="482"/>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11">
    <w:nsid w:val="52A96DD4"/>
    <w:multiLevelType w:val="multilevel"/>
    <w:tmpl w:val="52A96DD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65DA29F9"/>
    <w:multiLevelType w:val="multilevel"/>
    <w:tmpl w:val="65DA29F9"/>
    <w:lvl w:ilvl="0" w:tentative="0">
      <w:start w:val="3"/>
      <w:numFmt w:val="decimal"/>
      <w:lvlText w:val="%1."/>
      <w:lvlJc w:val="left"/>
      <w:pPr>
        <w:tabs>
          <w:tab w:val="left" w:pos="360"/>
        </w:tabs>
        <w:ind w:left="300" w:hanging="300"/>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13">
    <w:nsid w:val="68292A80"/>
    <w:multiLevelType w:val="multilevel"/>
    <w:tmpl w:val="68292A80"/>
    <w:lvl w:ilvl="0" w:tentative="0">
      <w:start w:val="1"/>
      <w:numFmt w:val="decimal"/>
      <w:lvlText w:val="%1."/>
      <w:lvlJc w:val="left"/>
      <w:pPr>
        <w:tabs>
          <w:tab w:val="left" w:pos="300"/>
        </w:tabs>
        <w:ind w:left="300" w:hanging="300"/>
      </w:pPr>
      <w:rPr>
        <w:strike w:val="0"/>
        <w:dstrike w:val="0"/>
        <w:u w:val="none"/>
      </w:rPr>
    </w:lvl>
    <w:lvl w:ilvl="1" w:tentative="0">
      <w:start w:val="1"/>
      <w:numFmt w:val="decimal"/>
      <w:isLgl/>
      <w:lvlText w:val="%1.%2"/>
      <w:lvlJc w:val="left"/>
      <w:pPr>
        <w:tabs>
          <w:tab w:val="left" w:pos="480"/>
        </w:tabs>
        <w:ind w:left="480" w:hanging="480"/>
      </w:pPr>
    </w:lvl>
    <w:lvl w:ilvl="2" w:tentative="0">
      <w:start w:val="1"/>
      <w:numFmt w:val="decimal"/>
      <w:isLgl/>
      <w:lvlText w:val="%1.%2.%3"/>
      <w:lvlJc w:val="left"/>
      <w:pPr>
        <w:tabs>
          <w:tab w:val="left" w:pos="720"/>
        </w:tabs>
        <w:ind w:left="720" w:hanging="720"/>
      </w:pPr>
    </w:lvl>
    <w:lvl w:ilvl="3" w:tentative="0">
      <w:start w:val="1"/>
      <w:numFmt w:val="decimal"/>
      <w:isLgl/>
      <w:lvlText w:val="%1.%2.%3.%4"/>
      <w:lvlJc w:val="left"/>
      <w:pPr>
        <w:tabs>
          <w:tab w:val="left" w:pos="1080"/>
        </w:tabs>
        <w:ind w:left="1080" w:hanging="1080"/>
      </w:pPr>
    </w:lvl>
    <w:lvl w:ilvl="4" w:tentative="0">
      <w:start w:val="1"/>
      <w:numFmt w:val="decimal"/>
      <w:isLgl/>
      <w:lvlText w:val="%1.%2.%3.%4.%5"/>
      <w:lvlJc w:val="left"/>
      <w:pPr>
        <w:tabs>
          <w:tab w:val="left" w:pos="1080"/>
        </w:tabs>
        <w:ind w:left="1080" w:hanging="1080"/>
      </w:pPr>
    </w:lvl>
    <w:lvl w:ilvl="5" w:tentative="0">
      <w:start w:val="1"/>
      <w:numFmt w:val="decimal"/>
      <w:isLgl/>
      <w:lvlText w:val="%1.%2.%3.%4.%5.%6"/>
      <w:lvlJc w:val="left"/>
      <w:pPr>
        <w:tabs>
          <w:tab w:val="left" w:pos="1440"/>
        </w:tabs>
        <w:ind w:left="1440" w:hanging="1440"/>
      </w:pPr>
    </w:lvl>
    <w:lvl w:ilvl="6" w:tentative="0">
      <w:start w:val="1"/>
      <w:numFmt w:val="decimal"/>
      <w:isLgl/>
      <w:lvlText w:val="%1.%2.%3.%4.%5.%6.%7"/>
      <w:lvlJc w:val="left"/>
      <w:pPr>
        <w:tabs>
          <w:tab w:val="left" w:pos="1800"/>
        </w:tabs>
        <w:ind w:left="1800" w:hanging="1800"/>
      </w:pPr>
    </w:lvl>
    <w:lvl w:ilvl="7" w:tentative="0">
      <w:start w:val="1"/>
      <w:numFmt w:val="decimal"/>
      <w:isLgl/>
      <w:lvlText w:val="%1.%2.%3.%4.%5.%6.%7.%8"/>
      <w:lvlJc w:val="left"/>
      <w:pPr>
        <w:tabs>
          <w:tab w:val="left" w:pos="1800"/>
        </w:tabs>
        <w:ind w:left="1800" w:hanging="1800"/>
      </w:pPr>
    </w:lvl>
    <w:lvl w:ilvl="8" w:tentative="0">
      <w:start w:val="1"/>
      <w:numFmt w:val="decimal"/>
      <w:isLgl/>
      <w:lvlText w:val="%1.%2.%3.%4.%5.%6.%7.%8.%9"/>
      <w:lvlJc w:val="left"/>
      <w:pPr>
        <w:tabs>
          <w:tab w:val="left" w:pos="2160"/>
        </w:tabs>
        <w:ind w:left="2160" w:hanging="2160"/>
      </w:pPr>
    </w:lvl>
  </w:abstractNum>
  <w:abstractNum w:abstractNumId="14">
    <w:nsid w:val="68D44C88"/>
    <w:multiLevelType w:val="multilevel"/>
    <w:tmpl w:val="68D44C88"/>
    <w:lvl w:ilvl="0" w:tentative="0">
      <w:start w:val="1"/>
      <w:numFmt w:val="decimal"/>
      <w:lvlText w:val="5.1.%1"/>
      <w:lvlJc w:val="left"/>
      <w:pPr>
        <w:tabs>
          <w:tab w:val="left" w:pos="1974"/>
        </w:tabs>
        <w:ind w:left="1974" w:hanging="680"/>
      </w:pPr>
      <w:rPr>
        <w:rFonts w:hint="eastAsia" w:eastAsia="宋体"/>
        <w:b w:val="0"/>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abstractNum w:abstractNumId="16">
    <w:nsid w:val="75132A92"/>
    <w:multiLevelType w:val="multilevel"/>
    <w:tmpl w:val="75132A9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BFA7AB0"/>
    <w:multiLevelType w:val="multilevel"/>
    <w:tmpl w:val="7BFA7AB0"/>
    <w:lvl w:ilvl="0" w:tentative="0">
      <w:start w:val="1"/>
      <w:numFmt w:val="japaneseCounting"/>
      <w:lvlText w:val="%1、"/>
      <w:lvlJc w:val="left"/>
      <w:pPr>
        <w:ind w:left="1040" w:hanging="720"/>
      </w:pPr>
      <w:rPr>
        <w:rFonts w:hint="default"/>
      </w:rPr>
    </w:lvl>
    <w:lvl w:ilvl="1" w:tentative="0">
      <w:start w:val="1"/>
      <w:numFmt w:val="lowerLetter"/>
      <w:lvlText w:val="%2)"/>
      <w:lvlJc w:val="left"/>
      <w:pPr>
        <w:ind w:left="1160" w:hanging="420"/>
      </w:pPr>
    </w:lvl>
    <w:lvl w:ilvl="2" w:tentative="0">
      <w:start w:val="1"/>
      <w:numFmt w:val="lowerRoman"/>
      <w:lvlText w:val="%3."/>
      <w:lvlJc w:val="right"/>
      <w:pPr>
        <w:ind w:left="1580" w:hanging="420"/>
      </w:pPr>
    </w:lvl>
    <w:lvl w:ilvl="3" w:tentative="0">
      <w:start w:val="1"/>
      <w:numFmt w:val="decimal"/>
      <w:lvlText w:val="%4."/>
      <w:lvlJc w:val="left"/>
      <w:pPr>
        <w:ind w:left="2000" w:hanging="420"/>
      </w:pPr>
    </w:lvl>
    <w:lvl w:ilvl="4" w:tentative="0">
      <w:start w:val="1"/>
      <w:numFmt w:val="lowerLetter"/>
      <w:lvlText w:val="%5)"/>
      <w:lvlJc w:val="left"/>
      <w:pPr>
        <w:ind w:left="2420" w:hanging="420"/>
      </w:pPr>
    </w:lvl>
    <w:lvl w:ilvl="5" w:tentative="0">
      <w:start w:val="1"/>
      <w:numFmt w:val="lowerRoman"/>
      <w:lvlText w:val="%6."/>
      <w:lvlJc w:val="right"/>
      <w:pPr>
        <w:ind w:left="2840" w:hanging="420"/>
      </w:pPr>
    </w:lvl>
    <w:lvl w:ilvl="6" w:tentative="0">
      <w:start w:val="1"/>
      <w:numFmt w:val="decimal"/>
      <w:lvlText w:val="%7."/>
      <w:lvlJc w:val="left"/>
      <w:pPr>
        <w:ind w:left="3260" w:hanging="420"/>
      </w:pPr>
    </w:lvl>
    <w:lvl w:ilvl="7" w:tentative="0">
      <w:start w:val="1"/>
      <w:numFmt w:val="lowerLetter"/>
      <w:lvlText w:val="%8)"/>
      <w:lvlJc w:val="left"/>
      <w:pPr>
        <w:ind w:left="3680" w:hanging="420"/>
      </w:pPr>
    </w:lvl>
    <w:lvl w:ilvl="8" w:tentative="0">
      <w:start w:val="1"/>
      <w:numFmt w:val="lowerRoman"/>
      <w:lvlText w:val="%9."/>
      <w:lvlJc w:val="right"/>
      <w:pPr>
        <w:ind w:left="4100" w:hanging="420"/>
      </w:pPr>
    </w:lvl>
  </w:abstractNum>
  <w:abstractNum w:abstractNumId="18">
    <w:nsid w:val="7D376BCF"/>
    <w:multiLevelType w:val="multilevel"/>
    <w:tmpl w:val="7D376BCF"/>
    <w:lvl w:ilvl="0" w:tentative="0">
      <w:start w:val="2"/>
      <w:numFmt w:val="decimal"/>
      <w:lvlText w:val="%1."/>
      <w:lvlJc w:val="left"/>
      <w:pPr>
        <w:tabs>
          <w:tab w:val="left" w:pos="360"/>
        </w:tabs>
        <w:ind w:left="300" w:hanging="300"/>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num w:numId="1">
    <w:abstractNumId w:val="16"/>
  </w:num>
  <w:num w:numId="2">
    <w:abstractNumId w:val="15"/>
  </w:num>
  <w:num w:numId="3">
    <w:abstractNumId w:val="8"/>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2"/>
  </w:num>
  <w:num w:numId="7">
    <w:abstractNumId w:val="4"/>
  </w:num>
  <w:num w:numId="8">
    <w:abstractNumId w:val="0"/>
  </w:num>
  <w:num w:numId="9">
    <w:abstractNumId w:val="14"/>
  </w:num>
  <w:num w:numId="10">
    <w:abstractNumId w:val="7"/>
  </w:num>
  <w:num w:numId="11">
    <w:abstractNumId w:val="5"/>
  </w:num>
  <w:num w:numId="12">
    <w:abstractNumId w:val="2"/>
  </w:num>
  <w:num w:numId="13">
    <w:abstractNumId w:val="6"/>
  </w:num>
  <w:num w:numId="14">
    <w:abstractNumId w:val="1"/>
  </w:num>
  <w:num w:numId="15">
    <w:abstractNumId w:val="10"/>
  </w:num>
  <w:num w:numId="16">
    <w:abstractNumId w:val="17"/>
  </w:num>
  <w:num w:numId="17">
    <w:abstractNumId w:val="3"/>
  </w:num>
  <w:num w:numId="18">
    <w:abstractNumId w:val="1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172A27"/>
    <w:rsid w:val="0000064E"/>
    <w:rsid w:val="00000B77"/>
    <w:rsid w:val="00002906"/>
    <w:rsid w:val="00004C52"/>
    <w:rsid w:val="0000507E"/>
    <w:rsid w:val="00010676"/>
    <w:rsid w:val="000110DA"/>
    <w:rsid w:val="00014B8C"/>
    <w:rsid w:val="00021964"/>
    <w:rsid w:val="00022DA6"/>
    <w:rsid w:val="00023672"/>
    <w:rsid w:val="00027925"/>
    <w:rsid w:val="00027D01"/>
    <w:rsid w:val="00031FD0"/>
    <w:rsid w:val="0003251B"/>
    <w:rsid w:val="00037B3B"/>
    <w:rsid w:val="00040A9F"/>
    <w:rsid w:val="00043974"/>
    <w:rsid w:val="00043A05"/>
    <w:rsid w:val="00045DDD"/>
    <w:rsid w:val="00047C4A"/>
    <w:rsid w:val="00053E5C"/>
    <w:rsid w:val="00054B1A"/>
    <w:rsid w:val="0006653B"/>
    <w:rsid w:val="00067A6D"/>
    <w:rsid w:val="000771A6"/>
    <w:rsid w:val="00090D61"/>
    <w:rsid w:val="000951EA"/>
    <w:rsid w:val="000A0A4C"/>
    <w:rsid w:val="000A1CA2"/>
    <w:rsid w:val="000A2328"/>
    <w:rsid w:val="000A4A8F"/>
    <w:rsid w:val="000A5D1E"/>
    <w:rsid w:val="000A6808"/>
    <w:rsid w:val="000B0292"/>
    <w:rsid w:val="000B2234"/>
    <w:rsid w:val="000B2CF4"/>
    <w:rsid w:val="000B37CC"/>
    <w:rsid w:val="000B3E43"/>
    <w:rsid w:val="000B6AAE"/>
    <w:rsid w:val="000C0F1C"/>
    <w:rsid w:val="000C11DD"/>
    <w:rsid w:val="000C1FA7"/>
    <w:rsid w:val="000C55CF"/>
    <w:rsid w:val="000C75FA"/>
    <w:rsid w:val="000D36DF"/>
    <w:rsid w:val="000D5742"/>
    <w:rsid w:val="000D64E0"/>
    <w:rsid w:val="000D7B63"/>
    <w:rsid w:val="000E1C04"/>
    <w:rsid w:val="000E1F95"/>
    <w:rsid w:val="000E29A8"/>
    <w:rsid w:val="000E6149"/>
    <w:rsid w:val="000E79F5"/>
    <w:rsid w:val="00100772"/>
    <w:rsid w:val="00101779"/>
    <w:rsid w:val="00101C03"/>
    <w:rsid w:val="00101FAC"/>
    <w:rsid w:val="001020DE"/>
    <w:rsid w:val="001039F6"/>
    <w:rsid w:val="00106CBD"/>
    <w:rsid w:val="001078CF"/>
    <w:rsid w:val="00111D46"/>
    <w:rsid w:val="001125A8"/>
    <w:rsid w:val="00113FA4"/>
    <w:rsid w:val="00114AD2"/>
    <w:rsid w:val="00115141"/>
    <w:rsid w:val="001153C5"/>
    <w:rsid w:val="00115866"/>
    <w:rsid w:val="00116484"/>
    <w:rsid w:val="00117215"/>
    <w:rsid w:val="001200A8"/>
    <w:rsid w:val="00124105"/>
    <w:rsid w:val="001277A1"/>
    <w:rsid w:val="00131AB1"/>
    <w:rsid w:val="001350DF"/>
    <w:rsid w:val="00135648"/>
    <w:rsid w:val="00137031"/>
    <w:rsid w:val="00137C3E"/>
    <w:rsid w:val="00141D84"/>
    <w:rsid w:val="00142932"/>
    <w:rsid w:val="00144D41"/>
    <w:rsid w:val="001470B9"/>
    <w:rsid w:val="001471B8"/>
    <w:rsid w:val="0014798E"/>
    <w:rsid w:val="00153A36"/>
    <w:rsid w:val="001551E2"/>
    <w:rsid w:val="00155BF1"/>
    <w:rsid w:val="00155C12"/>
    <w:rsid w:val="00161400"/>
    <w:rsid w:val="00163C7C"/>
    <w:rsid w:val="00163E1E"/>
    <w:rsid w:val="00164A5B"/>
    <w:rsid w:val="00171D57"/>
    <w:rsid w:val="00172A27"/>
    <w:rsid w:val="001764A0"/>
    <w:rsid w:val="001778A6"/>
    <w:rsid w:val="00180637"/>
    <w:rsid w:val="00183AFA"/>
    <w:rsid w:val="00184A6A"/>
    <w:rsid w:val="0019205D"/>
    <w:rsid w:val="00195DD0"/>
    <w:rsid w:val="00196E2C"/>
    <w:rsid w:val="001974F3"/>
    <w:rsid w:val="0019764A"/>
    <w:rsid w:val="001A082D"/>
    <w:rsid w:val="001A50A6"/>
    <w:rsid w:val="001A6070"/>
    <w:rsid w:val="001A618B"/>
    <w:rsid w:val="001B45D6"/>
    <w:rsid w:val="001B72D3"/>
    <w:rsid w:val="001C2927"/>
    <w:rsid w:val="001C3C0B"/>
    <w:rsid w:val="001C4D5F"/>
    <w:rsid w:val="001C635F"/>
    <w:rsid w:val="001C6704"/>
    <w:rsid w:val="001D011E"/>
    <w:rsid w:val="001D2259"/>
    <w:rsid w:val="001E3868"/>
    <w:rsid w:val="001F2833"/>
    <w:rsid w:val="001F40D5"/>
    <w:rsid w:val="001F6F4D"/>
    <w:rsid w:val="002002C8"/>
    <w:rsid w:val="002032DE"/>
    <w:rsid w:val="00203ADE"/>
    <w:rsid w:val="00204822"/>
    <w:rsid w:val="00206B56"/>
    <w:rsid w:val="00211D9C"/>
    <w:rsid w:val="00216325"/>
    <w:rsid w:val="0021773C"/>
    <w:rsid w:val="00220A84"/>
    <w:rsid w:val="00221142"/>
    <w:rsid w:val="0022161D"/>
    <w:rsid w:val="00222538"/>
    <w:rsid w:val="002252CD"/>
    <w:rsid w:val="002258F8"/>
    <w:rsid w:val="00226EA8"/>
    <w:rsid w:val="002305C7"/>
    <w:rsid w:val="00231FED"/>
    <w:rsid w:val="00234944"/>
    <w:rsid w:val="00235172"/>
    <w:rsid w:val="0023592E"/>
    <w:rsid w:val="00236E17"/>
    <w:rsid w:val="00240825"/>
    <w:rsid w:val="00242FB2"/>
    <w:rsid w:val="002436B6"/>
    <w:rsid w:val="00245DC3"/>
    <w:rsid w:val="00246678"/>
    <w:rsid w:val="00250CFE"/>
    <w:rsid w:val="002526F3"/>
    <w:rsid w:val="00256713"/>
    <w:rsid w:val="00260D55"/>
    <w:rsid w:val="00263BB4"/>
    <w:rsid w:val="0026404D"/>
    <w:rsid w:val="00265BC8"/>
    <w:rsid w:val="002700EA"/>
    <w:rsid w:val="002702C0"/>
    <w:rsid w:val="00273947"/>
    <w:rsid w:val="00281F9A"/>
    <w:rsid w:val="002820D7"/>
    <w:rsid w:val="00283572"/>
    <w:rsid w:val="00290981"/>
    <w:rsid w:val="002922AA"/>
    <w:rsid w:val="00294B55"/>
    <w:rsid w:val="0029701C"/>
    <w:rsid w:val="002A0171"/>
    <w:rsid w:val="002A0B86"/>
    <w:rsid w:val="002A3334"/>
    <w:rsid w:val="002A3E7B"/>
    <w:rsid w:val="002A3F6E"/>
    <w:rsid w:val="002B0522"/>
    <w:rsid w:val="002B6BE1"/>
    <w:rsid w:val="002B6E68"/>
    <w:rsid w:val="002B7736"/>
    <w:rsid w:val="002C0609"/>
    <w:rsid w:val="002C2645"/>
    <w:rsid w:val="002C45B3"/>
    <w:rsid w:val="002E2E0C"/>
    <w:rsid w:val="002E4304"/>
    <w:rsid w:val="002E4EFF"/>
    <w:rsid w:val="002E5518"/>
    <w:rsid w:val="002F0C46"/>
    <w:rsid w:val="002F1168"/>
    <w:rsid w:val="002F29C7"/>
    <w:rsid w:val="002F30EA"/>
    <w:rsid w:val="002F6ED4"/>
    <w:rsid w:val="00301398"/>
    <w:rsid w:val="003027E4"/>
    <w:rsid w:val="00304695"/>
    <w:rsid w:val="00305346"/>
    <w:rsid w:val="00305D5D"/>
    <w:rsid w:val="0031113B"/>
    <w:rsid w:val="00311983"/>
    <w:rsid w:val="00312C47"/>
    <w:rsid w:val="00316189"/>
    <w:rsid w:val="00317301"/>
    <w:rsid w:val="00317735"/>
    <w:rsid w:val="00317FF4"/>
    <w:rsid w:val="00320934"/>
    <w:rsid w:val="003228B5"/>
    <w:rsid w:val="003228C1"/>
    <w:rsid w:val="00327F40"/>
    <w:rsid w:val="00333C0B"/>
    <w:rsid w:val="0033479E"/>
    <w:rsid w:val="00335BBD"/>
    <w:rsid w:val="00337729"/>
    <w:rsid w:val="0034424B"/>
    <w:rsid w:val="00344BB7"/>
    <w:rsid w:val="00353C98"/>
    <w:rsid w:val="00363DD5"/>
    <w:rsid w:val="003644DA"/>
    <w:rsid w:val="00365981"/>
    <w:rsid w:val="003666C7"/>
    <w:rsid w:val="00367347"/>
    <w:rsid w:val="00373107"/>
    <w:rsid w:val="0037469C"/>
    <w:rsid w:val="003747A6"/>
    <w:rsid w:val="003769AB"/>
    <w:rsid w:val="00377D1D"/>
    <w:rsid w:val="00382F89"/>
    <w:rsid w:val="003903F9"/>
    <w:rsid w:val="0039392C"/>
    <w:rsid w:val="003A3510"/>
    <w:rsid w:val="003A5A9C"/>
    <w:rsid w:val="003B4F5A"/>
    <w:rsid w:val="003C0091"/>
    <w:rsid w:val="003C0F3A"/>
    <w:rsid w:val="003C465F"/>
    <w:rsid w:val="003C7F67"/>
    <w:rsid w:val="003D0ED0"/>
    <w:rsid w:val="003D3649"/>
    <w:rsid w:val="003D7583"/>
    <w:rsid w:val="003E1B17"/>
    <w:rsid w:val="003E2C94"/>
    <w:rsid w:val="003E61FE"/>
    <w:rsid w:val="003E6831"/>
    <w:rsid w:val="003F1886"/>
    <w:rsid w:val="003F2DCF"/>
    <w:rsid w:val="003F3260"/>
    <w:rsid w:val="003F5730"/>
    <w:rsid w:val="003F74EF"/>
    <w:rsid w:val="003F7691"/>
    <w:rsid w:val="004004F0"/>
    <w:rsid w:val="004033C9"/>
    <w:rsid w:val="00411A84"/>
    <w:rsid w:val="00413D57"/>
    <w:rsid w:val="00414E44"/>
    <w:rsid w:val="004169D6"/>
    <w:rsid w:val="00417954"/>
    <w:rsid w:val="00420048"/>
    <w:rsid w:val="00423096"/>
    <w:rsid w:val="0042522E"/>
    <w:rsid w:val="004278E7"/>
    <w:rsid w:val="00430826"/>
    <w:rsid w:val="00433D8F"/>
    <w:rsid w:val="00436277"/>
    <w:rsid w:val="00437728"/>
    <w:rsid w:val="00441ACB"/>
    <w:rsid w:val="00441E7E"/>
    <w:rsid w:val="00442137"/>
    <w:rsid w:val="00442EE6"/>
    <w:rsid w:val="00444810"/>
    <w:rsid w:val="00444D5A"/>
    <w:rsid w:val="00445B52"/>
    <w:rsid w:val="004540E9"/>
    <w:rsid w:val="004542F7"/>
    <w:rsid w:val="00454FD6"/>
    <w:rsid w:val="004573F3"/>
    <w:rsid w:val="00461782"/>
    <w:rsid w:val="00463F1D"/>
    <w:rsid w:val="004649FE"/>
    <w:rsid w:val="00475D10"/>
    <w:rsid w:val="004775CC"/>
    <w:rsid w:val="00483D99"/>
    <w:rsid w:val="004912CE"/>
    <w:rsid w:val="00492AA2"/>
    <w:rsid w:val="00492B95"/>
    <w:rsid w:val="004944D8"/>
    <w:rsid w:val="004951FD"/>
    <w:rsid w:val="004A0A83"/>
    <w:rsid w:val="004B0F7E"/>
    <w:rsid w:val="004B1534"/>
    <w:rsid w:val="004B3F66"/>
    <w:rsid w:val="004B7B3F"/>
    <w:rsid w:val="004C163E"/>
    <w:rsid w:val="004C5468"/>
    <w:rsid w:val="004C6AB9"/>
    <w:rsid w:val="004D0561"/>
    <w:rsid w:val="004D3C5C"/>
    <w:rsid w:val="004D520B"/>
    <w:rsid w:val="004D5777"/>
    <w:rsid w:val="004E0391"/>
    <w:rsid w:val="004E09AE"/>
    <w:rsid w:val="004F0CE4"/>
    <w:rsid w:val="004F5E69"/>
    <w:rsid w:val="005058BE"/>
    <w:rsid w:val="00506181"/>
    <w:rsid w:val="0050741D"/>
    <w:rsid w:val="005111AA"/>
    <w:rsid w:val="00512CA6"/>
    <w:rsid w:val="00517A0E"/>
    <w:rsid w:val="005207ED"/>
    <w:rsid w:val="00521114"/>
    <w:rsid w:val="00522203"/>
    <w:rsid w:val="005258B1"/>
    <w:rsid w:val="005279D8"/>
    <w:rsid w:val="00531ADF"/>
    <w:rsid w:val="00532F09"/>
    <w:rsid w:val="00534573"/>
    <w:rsid w:val="00534E87"/>
    <w:rsid w:val="005358A1"/>
    <w:rsid w:val="005367DE"/>
    <w:rsid w:val="005447B4"/>
    <w:rsid w:val="0054663C"/>
    <w:rsid w:val="0055257B"/>
    <w:rsid w:val="00552B15"/>
    <w:rsid w:val="00553285"/>
    <w:rsid w:val="0055409A"/>
    <w:rsid w:val="00554299"/>
    <w:rsid w:val="00554849"/>
    <w:rsid w:val="00554B72"/>
    <w:rsid w:val="00557154"/>
    <w:rsid w:val="00557BAE"/>
    <w:rsid w:val="00560570"/>
    <w:rsid w:val="00560E17"/>
    <w:rsid w:val="00560F71"/>
    <w:rsid w:val="00562BF1"/>
    <w:rsid w:val="00564025"/>
    <w:rsid w:val="00576797"/>
    <w:rsid w:val="005856F3"/>
    <w:rsid w:val="00592487"/>
    <w:rsid w:val="005926A4"/>
    <w:rsid w:val="00595702"/>
    <w:rsid w:val="00597981"/>
    <w:rsid w:val="005A12F5"/>
    <w:rsid w:val="005A311E"/>
    <w:rsid w:val="005A5EEF"/>
    <w:rsid w:val="005A73F7"/>
    <w:rsid w:val="005B0D71"/>
    <w:rsid w:val="005B2025"/>
    <w:rsid w:val="005B2531"/>
    <w:rsid w:val="005B40ED"/>
    <w:rsid w:val="005B5D5D"/>
    <w:rsid w:val="005B6641"/>
    <w:rsid w:val="005C22E9"/>
    <w:rsid w:val="005C332E"/>
    <w:rsid w:val="005C61FE"/>
    <w:rsid w:val="005D237B"/>
    <w:rsid w:val="005D583E"/>
    <w:rsid w:val="005E0F14"/>
    <w:rsid w:val="005E47F4"/>
    <w:rsid w:val="005E5431"/>
    <w:rsid w:val="005E66AB"/>
    <w:rsid w:val="005F5D48"/>
    <w:rsid w:val="00600C6C"/>
    <w:rsid w:val="006014C7"/>
    <w:rsid w:val="00603B8A"/>
    <w:rsid w:val="00605EE2"/>
    <w:rsid w:val="00611B8B"/>
    <w:rsid w:val="0061483C"/>
    <w:rsid w:val="006148C2"/>
    <w:rsid w:val="00615769"/>
    <w:rsid w:val="006169BE"/>
    <w:rsid w:val="006238F4"/>
    <w:rsid w:val="00625DFE"/>
    <w:rsid w:val="00626122"/>
    <w:rsid w:val="00632941"/>
    <w:rsid w:val="00634A57"/>
    <w:rsid w:val="006360EC"/>
    <w:rsid w:val="00636FB4"/>
    <w:rsid w:val="006378FA"/>
    <w:rsid w:val="006433EA"/>
    <w:rsid w:val="006464EC"/>
    <w:rsid w:val="00647A2C"/>
    <w:rsid w:val="00647E0A"/>
    <w:rsid w:val="006552DA"/>
    <w:rsid w:val="00662226"/>
    <w:rsid w:val="0066296A"/>
    <w:rsid w:val="00665FE5"/>
    <w:rsid w:val="00667367"/>
    <w:rsid w:val="00676199"/>
    <w:rsid w:val="00676DBF"/>
    <w:rsid w:val="006845A5"/>
    <w:rsid w:val="00684A6E"/>
    <w:rsid w:val="006850F3"/>
    <w:rsid w:val="00687025"/>
    <w:rsid w:val="00693A77"/>
    <w:rsid w:val="006978DC"/>
    <w:rsid w:val="006A09CA"/>
    <w:rsid w:val="006A388E"/>
    <w:rsid w:val="006A7EEE"/>
    <w:rsid w:val="006B1226"/>
    <w:rsid w:val="006B4C67"/>
    <w:rsid w:val="006C33EF"/>
    <w:rsid w:val="006C526A"/>
    <w:rsid w:val="006C59D8"/>
    <w:rsid w:val="006C7A76"/>
    <w:rsid w:val="006D3FE1"/>
    <w:rsid w:val="006D5486"/>
    <w:rsid w:val="006D6E9F"/>
    <w:rsid w:val="006E00A3"/>
    <w:rsid w:val="006E1E60"/>
    <w:rsid w:val="006E3C6A"/>
    <w:rsid w:val="006E400F"/>
    <w:rsid w:val="006E6F37"/>
    <w:rsid w:val="006F51E8"/>
    <w:rsid w:val="006F542D"/>
    <w:rsid w:val="006F551A"/>
    <w:rsid w:val="006F6C56"/>
    <w:rsid w:val="00710C36"/>
    <w:rsid w:val="00711632"/>
    <w:rsid w:val="00711A41"/>
    <w:rsid w:val="00714F9C"/>
    <w:rsid w:val="0071782B"/>
    <w:rsid w:val="007178B0"/>
    <w:rsid w:val="007200DF"/>
    <w:rsid w:val="00724BA1"/>
    <w:rsid w:val="00726AEF"/>
    <w:rsid w:val="007279BE"/>
    <w:rsid w:val="00732812"/>
    <w:rsid w:val="00732B3A"/>
    <w:rsid w:val="00736D28"/>
    <w:rsid w:val="00737DCD"/>
    <w:rsid w:val="00742EE5"/>
    <w:rsid w:val="00745301"/>
    <w:rsid w:val="007465AA"/>
    <w:rsid w:val="007475BB"/>
    <w:rsid w:val="00754374"/>
    <w:rsid w:val="007558C6"/>
    <w:rsid w:val="00755FF8"/>
    <w:rsid w:val="007642A4"/>
    <w:rsid w:val="00764934"/>
    <w:rsid w:val="007712FB"/>
    <w:rsid w:val="00774400"/>
    <w:rsid w:val="00775573"/>
    <w:rsid w:val="007757DD"/>
    <w:rsid w:val="00781667"/>
    <w:rsid w:val="0078270C"/>
    <w:rsid w:val="00790AF8"/>
    <w:rsid w:val="0079284F"/>
    <w:rsid w:val="007A20C5"/>
    <w:rsid w:val="007A2282"/>
    <w:rsid w:val="007A4592"/>
    <w:rsid w:val="007A6CC3"/>
    <w:rsid w:val="007B0789"/>
    <w:rsid w:val="007B27F5"/>
    <w:rsid w:val="007B2EC3"/>
    <w:rsid w:val="007B4887"/>
    <w:rsid w:val="007C1922"/>
    <w:rsid w:val="007C3091"/>
    <w:rsid w:val="007C5DC8"/>
    <w:rsid w:val="007D47A0"/>
    <w:rsid w:val="007E03A0"/>
    <w:rsid w:val="007E137A"/>
    <w:rsid w:val="007E1922"/>
    <w:rsid w:val="007E26AF"/>
    <w:rsid w:val="007E4AA8"/>
    <w:rsid w:val="007F3594"/>
    <w:rsid w:val="007F36CB"/>
    <w:rsid w:val="007F52BE"/>
    <w:rsid w:val="007F6679"/>
    <w:rsid w:val="007F6BD6"/>
    <w:rsid w:val="007F7960"/>
    <w:rsid w:val="007F7C1D"/>
    <w:rsid w:val="008040CD"/>
    <w:rsid w:val="0081077F"/>
    <w:rsid w:val="00811994"/>
    <w:rsid w:val="00813B04"/>
    <w:rsid w:val="00814B48"/>
    <w:rsid w:val="00816C93"/>
    <w:rsid w:val="00820C6A"/>
    <w:rsid w:val="00822D37"/>
    <w:rsid w:val="00831699"/>
    <w:rsid w:val="0084035A"/>
    <w:rsid w:val="0084186F"/>
    <w:rsid w:val="00841C34"/>
    <w:rsid w:val="0084641A"/>
    <w:rsid w:val="00850AEA"/>
    <w:rsid w:val="00852758"/>
    <w:rsid w:val="0085676A"/>
    <w:rsid w:val="00860784"/>
    <w:rsid w:val="00860EA8"/>
    <w:rsid w:val="008623B7"/>
    <w:rsid w:val="00865137"/>
    <w:rsid w:val="00870F17"/>
    <w:rsid w:val="00871559"/>
    <w:rsid w:val="0087398F"/>
    <w:rsid w:val="00874FC5"/>
    <w:rsid w:val="00876592"/>
    <w:rsid w:val="00876F38"/>
    <w:rsid w:val="008804F2"/>
    <w:rsid w:val="00880763"/>
    <w:rsid w:val="00883834"/>
    <w:rsid w:val="008849A8"/>
    <w:rsid w:val="00885EF7"/>
    <w:rsid w:val="008879D9"/>
    <w:rsid w:val="0089265C"/>
    <w:rsid w:val="008A568B"/>
    <w:rsid w:val="008B07EB"/>
    <w:rsid w:val="008B2885"/>
    <w:rsid w:val="008C4BF8"/>
    <w:rsid w:val="008D1074"/>
    <w:rsid w:val="008D33D6"/>
    <w:rsid w:val="008D4C2C"/>
    <w:rsid w:val="008D5992"/>
    <w:rsid w:val="008D73EF"/>
    <w:rsid w:val="008E4841"/>
    <w:rsid w:val="008E639E"/>
    <w:rsid w:val="008E7F49"/>
    <w:rsid w:val="008F0FD4"/>
    <w:rsid w:val="008F5176"/>
    <w:rsid w:val="008F637A"/>
    <w:rsid w:val="008F744A"/>
    <w:rsid w:val="00900E92"/>
    <w:rsid w:val="009028F5"/>
    <w:rsid w:val="00902B7C"/>
    <w:rsid w:val="009048E0"/>
    <w:rsid w:val="00904D46"/>
    <w:rsid w:val="00906D24"/>
    <w:rsid w:val="00906D3C"/>
    <w:rsid w:val="009104D5"/>
    <w:rsid w:val="00910B38"/>
    <w:rsid w:val="00917B70"/>
    <w:rsid w:val="00917F63"/>
    <w:rsid w:val="009205A8"/>
    <w:rsid w:val="009217D4"/>
    <w:rsid w:val="00921C07"/>
    <w:rsid w:val="00922194"/>
    <w:rsid w:val="0092613E"/>
    <w:rsid w:val="009301A1"/>
    <w:rsid w:val="009302EA"/>
    <w:rsid w:val="00931653"/>
    <w:rsid w:val="009319C5"/>
    <w:rsid w:val="00933D8A"/>
    <w:rsid w:val="009362CE"/>
    <w:rsid w:val="009409B5"/>
    <w:rsid w:val="0094467C"/>
    <w:rsid w:val="009466BE"/>
    <w:rsid w:val="0095014A"/>
    <w:rsid w:val="00952900"/>
    <w:rsid w:val="009548AF"/>
    <w:rsid w:val="00956101"/>
    <w:rsid w:val="0095777E"/>
    <w:rsid w:val="00961939"/>
    <w:rsid w:val="00962F9D"/>
    <w:rsid w:val="00965932"/>
    <w:rsid w:val="009674D1"/>
    <w:rsid w:val="00967FF0"/>
    <w:rsid w:val="00970925"/>
    <w:rsid w:val="0097118F"/>
    <w:rsid w:val="0097130C"/>
    <w:rsid w:val="0097167F"/>
    <w:rsid w:val="00980759"/>
    <w:rsid w:val="00983EA0"/>
    <w:rsid w:val="00983FE1"/>
    <w:rsid w:val="00994AC1"/>
    <w:rsid w:val="009A039D"/>
    <w:rsid w:val="009A18DF"/>
    <w:rsid w:val="009A461C"/>
    <w:rsid w:val="009A795B"/>
    <w:rsid w:val="009B5E34"/>
    <w:rsid w:val="009B6182"/>
    <w:rsid w:val="009C0DD7"/>
    <w:rsid w:val="009C37E3"/>
    <w:rsid w:val="009C4C8E"/>
    <w:rsid w:val="009C6528"/>
    <w:rsid w:val="009D0AE2"/>
    <w:rsid w:val="009D1E65"/>
    <w:rsid w:val="009D46F1"/>
    <w:rsid w:val="009D4B96"/>
    <w:rsid w:val="009D4EEB"/>
    <w:rsid w:val="009D511A"/>
    <w:rsid w:val="009D78E3"/>
    <w:rsid w:val="009D7EB2"/>
    <w:rsid w:val="009E01A7"/>
    <w:rsid w:val="009E0C42"/>
    <w:rsid w:val="009E3750"/>
    <w:rsid w:val="009E5B01"/>
    <w:rsid w:val="009F026E"/>
    <w:rsid w:val="009F057E"/>
    <w:rsid w:val="009F1FE4"/>
    <w:rsid w:val="00A024FE"/>
    <w:rsid w:val="00A05B07"/>
    <w:rsid w:val="00A05CBC"/>
    <w:rsid w:val="00A11D3A"/>
    <w:rsid w:val="00A134B1"/>
    <w:rsid w:val="00A13B12"/>
    <w:rsid w:val="00A13CC6"/>
    <w:rsid w:val="00A157B1"/>
    <w:rsid w:val="00A16FBD"/>
    <w:rsid w:val="00A17E28"/>
    <w:rsid w:val="00A20346"/>
    <w:rsid w:val="00A240BB"/>
    <w:rsid w:val="00A31E94"/>
    <w:rsid w:val="00A4354C"/>
    <w:rsid w:val="00A44748"/>
    <w:rsid w:val="00A45F2C"/>
    <w:rsid w:val="00A47FA3"/>
    <w:rsid w:val="00A52F7B"/>
    <w:rsid w:val="00A55094"/>
    <w:rsid w:val="00A553A7"/>
    <w:rsid w:val="00A56737"/>
    <w:rsid w:val="00A63C9E"/>
    <w:rsid w:val="00A6649B"/>
    <w:rsid w:val="00A73697"/>
    <w:rsid w:val="00A74025"/>
    <w:rsid w:val="00A7541C"/>
    <w:rsid w:val="00A847C0"/>
    <w:rsid w:val="00A919AC"/>
    <w:rsid w:val="00A92ECB"/>
    <w:rsid w:val="00A938B4"/>
    <w:rsid w:val="00A97407"/>
    <w:rsid w:val="00AA0717"/>
    <w:rsid w:val="00AA1175"/>
    <w:rsid w:val="00AA3654"/>
    <w:rsid w:val="00AA5933"/>
    <w:rsid w:val="00AA71C7"/>
    <w:rsid w:val="00AA7CF4"/>
    <w:rsid w:val="00AB2364"/>
    <w:rsid w:val="00AB46E3"/>
    <w:rsid w:val="00AB7D57"/>
    <w:rsid w:val="00AD02B6"/>
    <w:rsid w:val="00AD1CC7"/>
    <w:rsid w:val="00AD2E51"/>
    <w:rsid w:val="00AD4F9D"/>
    <w:rsid w:val="00AD739F"/>
    <w:rsid w:val="00AE30C3"/>
    <w:rsid w:val="00AE3A20"/>
    <w:rsid w:val="00AE40F1"/>
    <w:rsid w:val="00AF128F"/>
    <w:rsid w:val="00AF78EC"/>
    <w:rsid w:val="00B016CB"/>
    <w:rsid w:val="00B03510"/>
    <w:rsid w:val="00B03590"/>
    <w:rsid w:val="00B03735"/>
    <w:rsid w:val="00B05C27"/>
    <w:rsid w:val="00B1003E"/>
    <w:rsid w:val="00B14042"/>
    <w:rsid w:val="00B15E1A"/>
    <w:rsid w:val="00B2299E"/>
    <w:rsid w:val="00B275BD"/>
    <w:rsid w:val="00B30321"/>
    <w:rsid w:val="00B34A6D"/>
    <w:rsid w:val="00B36318"/>
    <w:rsid w:val="00B4290A"/>
    <w:rsid w:val="00B44D99"/>
    <w:rsid w:val="00B46B57"/>
    <w:rsid w:val="00B46DFB"/>
    <w:rsid w:val="00B60922"/>
    <w:rsid w:val="00B62892"/>
    <w:rsid w:val="00B64B8B"/>
    <w:rsid w:val="00B71EE5"/>
    <w:rsid w:val="00B745ED"/>
    <w:rsid w:val="00B80DCA"/>
    <w:rsid w:val="00B821FA"/>
    <w:rsid w:val="00B84596"/>
    <w:rsid w:val="00B85235"/>
    <w:rsid w:val="00B855C5"/>
    <w:rsid w:val="00B8601F"/>
    <w:rsid w:val="00B86B31"/>
    <w:rsid w:val="00B86BEE"/>
    <w:rsid w:val="00B927E4"/>
    <w:rsid w:val="00B92D15"/>
    <w:rsid w:val="00B96E3E"/>
    <w:rsid w:val="00BA0939"/>
    <w:rsid w:val="00BA2106"/>
    <w:rsid w:val="00BB0641"/>
    <w:rsid w:val="00BB06D8"/>
    <w:rsid w:val="00BB3EF0"/>
    <w:rsid w:val="00BB4487"/>
    <w:rsid w:val="00BC00C3"/>
    <w:rsid w:val="00BC29AA"/>
    <w:rsid w:val="00BC7CCD"/>
    <w:rsid w:val="00BD3FB9"/>
    <w:rsid w:val="00BE0EB4"/>
    <w:rsid w:val="00BF078E"/>
    <w:rsid w:val="00BF1C34"/>
    <w:rsid w:val="00BF3DCE"/>
    <w:rsid w:val="00BF70C7"/>
    <w:rsid w:val="00C02C03"/>
    <w:rsid w:val="00C05CED"/>
    <w:rsid w:val="00C1081B"/>
    <w:rsid w:val="00C10E42"/>
    <w:rsid w:val="00C11CFE"/>
    <w:rsid w:val="00C126F7"/>
    <w:rsid w:val="00C12C1D"/>
    <w:rsid w:val="00C13381"/>
    <w:rsid w:val="00C14848"/>
    <w:rsid w:val="00C2674B"/>
    <w:rsid w:val="00C32864"/>
    <w:rsid w:val="00C35C92"/>
    <w:rsid w:val="00C4425C"/>
    <w:rsid w:val="00C46D44"/>
    <w:rsid w:val="00C47CE1"/>
    <w:rsid w:val="00C50E56"/>
    <w:rsid w:val="00C52233"/>
    <w:rsid w:val="00C56DB9"/>
    <w:rsid w:val="00C610FD"/>
    <w:rsid w:val="00C614F6"/>
    <w:rsid w:val="00C62313"/>
    <w:rsid w:val="00C636DC"/>
    <w:rsid w:val="00C65FF2"/>
    <w:rsid w:val="00C76F46"/>
    <w:rsid w:val="00C811A8"/>
    <w:rsid w:val="00C90F43"/>
    <w:rsid w:val="00C9126B"/>
    <w:rsid w:val="00C919C9"/>
    <w:rsid w:val="00C95EC1"/>
    <w:rsid w:val="00C95FEB"/>
    <w:rsid w:val="00CA1A9B"/>
    <w:rsid w:val="00CA2061"/>
    <w:rsid w:val="00CA4D6D"/>
    <w:rsid w:val="00CA5D55"/>
    <w:rsid w:val="00CB44ED"/>
    <w:rsid w:val="00CB51F6"/>
    <w:rsid w:val="00CC342C"/>
    <w:rsid w:val="00CC5746"/>
    <w:rsid w:val="00CC57A5"/>
    <w:rsid w:val="00CD0702"/>
    <w:rsid w:val="00CD247C"/>
    <w:rsid w:val="00CE1427"/>
    <w:rsid w:val="00CE6B0A"/>
    <w:rsid w:val="00CE7D93"/>
    <w:rsid w:val="00CF061A"/>
    <w:rsid w:val="00CF0C38"/>
    <w:rsid w:val="00CF57A6"/>
    <w:rsid w:val="00CF7E27"/>
    <w:rsid w:val="00D00577"/>
    <w:rsid w:val="00D00F5F"/>
    <w:rsid w:val="00D04531"/>
    <w:rsid w:val="00D05EC5"/>
    <w:rsid w:val="00D074F9"/>
    <w:rsid w:val="00D15E28"/>
    <w:rsid w:val="00D17C87"/>
    <w:rsid w:val="00D2435C"/>
    <w:rsid w:val="00D25E12"/>
    <w:rsid w:val="00D30266"/>
    <w:rsid w:val="00D303F6"/>
    <w:rsid w:val="00D3370E"/>
    <w:rsid w:val="00D338F0"/>
    <w:rsid w:val="00D374ED"/>
    <w:rsid w:val="00D4521A"/>
    <w:rsid w:val="00D45428"/>
    <w:rsid w:val="00D455A5"/>
    <w:rsid w:val="00D517FE"/>
    <w:rsid w:val="00D521D0"/>
    <w:rsid w:val="00D5281D"/>
    <w:rsid w:val="00D56B5A"/>
    <w:rsid w:val="00D63018"/>
    <w:rsid w:val="00D64D2B"/>
    <w:rsid w:val="00D66BB3"/>
    <w:rsid w:val="00D7116F"/>
    <w:rsid w:val="00D714FE"/>
    <w:rsid w:val="00D72691"/>
    <w:rsid w:val="00D729F1"/>
    <w:rsid w:val="00D75C15"/>
    <w:rsid w:val="00D76CE8"/>
    <w:rsid w:val="00D76FAC"/>
    <w:rsid w:val="00D77663"/>
    <w:rsid w:val="00D80E97"/>
    <w:rsid w:val="00D8103C"/>
    <w:rsid w:val="00D82E00"/>
    <w:rsid w:val="00D93FAF"/>
    <w:rsid w:val="00D94F7C"/>
    <w:rsid w:val="00D96302"/>
    <w:rsid w:val="00DA14CC"/>
    <w:rsid w:val="00DA5F36"/>
    <w:rsid w:val="00DB3CFF"/>
    <w:rsid w:val="00DB448B"/>
    <w:rsid w:val="00DB7DAB"/>
    <w:rsid w:val="00DD26D7"/>
    <w:rsid w:val="00DD2A18"/>
    <w:rsid w:val="00DE2656"/>
    <w:rsid w:val="00DE26A3"/>
    <w:rsid w:val="00DE489A"/>
    <w:rsid w:val="00DE6866"/>
    <w:rsid w:val="00DE795B"/>
    <w:rsid w:val="00DF0AFD"/>
    <w:rsid w:val="00DF25BF"/>
    <w:rsid w:val="00DF4B27"/>
    <w:rsid w:val="00E02AB7"/>
    <w:rsid w:val="00E066B6"/>
    <w:rsid w:val="00E06948"/>
    <w:rsid w:val="00E15E91"/>
    <w:rsid w:val="00E16D72"/>
    <w:rsid w:val="00E17B66"/>
    <w:rsid w:val="00E17DAF"/>
    <w:rsid w:val="00E229D6"/>
    <w:rsid w:val="00E2713F"/>
    <w:rsid w:val="00E27179"/>
    <w:rsid w:val="00E326B1"/>
    <w:rsid w:val="00E36830"/>
    <w:rsid w:val="00E37FE9"/>
    <w:rsid w:val="00E408AE"/>
    <w:rsid w:val="00E45247"/>
    <w:rsid w:val="00E472DD"/>
    <w:rsid w:val="00E53D2F"/>
    <w:rsid w:val="00E547DE"/>
    <w:rsid w:val="00E54839"/>
    <w:rsid w:val="00E5609E"/>
    <w:rsid w:val="00E60B4C"/>
    <w:rsid w:val="00E66389"/>
    <w:rsid w:val="00E664C1"/>
    <w:rsid w:val="00E67DD8"/>
    <w:rsid w:val="00E77151"/>
    <w:rsid w:val="00E81D82"/>
    <w:rsid w:val="00E82F29"/>
    <w:rsid w:val="00E85C65"/>
    <w:rsid w:val="00E879A2"/>
    <w:rsid w:val="00E91965"/>
    <w:rsid w:val="00E92F9E"/>
    <w:rsid w:val="00E9522F"/>
    <w:rsid w:val="00E96D2B"/>
    <w:rsid w:val="00EA0190"/>
    <w:rsid w:val="00EA1833"/>
    <w:rsid w:val="00EA3A39"/>
    <w:rsid w:val="00EA3AA8"/>
    <w:rsid w:val="00EB1519"/>
    <w:rsid w:val="00EB27F6"/>
    <w:rsid w:val="00EB6CF8"/>
    <w:rsid w:val="00EB6F61"/>
    <w:rsid w:val="00EB7052"/>
    <w:rsid w:val="00EB79BC"/>
    <w:rsid w:val="00EC28D1"/>
    <w:rsid w:val="00EC32DF"/>
    <w:rsid w:val="00EC3E1A"/>
    <w:rsid w:val="00EC6811"/>
    <w:rsid w:val="00EC6974"/>
    <w:rsid w:val="00EC6DC2"/>
    <w:rsid w:val="00ED2247"/>
    <w:rsid w:val="00ED3626"/>
    <w:rsid w:val="00ED3FED"/>
    <w:rsid w:val="00ED5680"/>
    <w:rsid w:val="00ED5F93"/>
    <w:rsid w:val="00ED795D"/>
    <w:rsid w:val="00EE1253"/>
    <w:rsid w:val="00EE55AB"/>
    <w:rsid w:val="00EE5FA2"/>
    <w:rsid w:val="00EF22FF"/>
    <w:rsid w:val="00EF280D"/>
    <w:rsid w:val="00EF415F"/>
    <w:rsid w:val="00EF6D0D"/>
    <w:rsid w:val="00EF78C8"/>
    <w:rsid w:val="00F004D3"/>
    <w:rsid w:val="00F048EF"/>
    <w:rsid w:val="00F05EF5"/>
    <w:rsid w:val="00F06C05"/>
    <w:rsid w:val="00F06D6D"/>
    <w:rsid w:val="00F07018"/>
    <w:rsid w:val="00F12B60"/>
    <w:rsid w:val="00F14175"/>
    <w:rsid w:val="00F141E7"/>
    <w:rsid w:val="00F17C9A"/>
    <w:rsid w:val="00F2502E"/>
    <w:rsid w:val="00F25B6B"/>
    <w:rsid w:val="00F26E5B"/>
    <w:rsid w:val="00F274E1"/>
    <w:rsid w:val="00F34D7F"/>
    <w:rsid w:val="00F361C3"/>
    <w:rsid w:val="00F3761D"/>
    <w:rsid w:val="00F40750"/>
    <w:rsid w:val="00F40FD3"/>
    <w:rsid w:val="00F4306D"/>
    <w:rsid w:val="00F44AF9"/>
    <w:rsid w:val="00F45FE7"/>
    <w:rsid w:val="00F468F3"/>
    <w:rsid w:val="00F47716"/>
    <w:rsid w:val="00F5180E"/>
    <w:rsid w:val="00F54541"/>
    <w:rsid w:val="00F55BDA"/>
    <w:rsid w:val="00F56F50"/>
    <w:rsid w:val="00F655DF"/>
    <w:rsid w:val="00F70DDA"/>
    <w:rsid w:val="00F716B2"/>
    <w:rsid w:val="00F71963"/>
    <w:rsid w:val="00F73868"/>
    <w:rsid w:val="00F73EB2"/>
    <w:rsid w:val="00F82A4A"/>
    <w:rsid w:val="00F83519"/>
    <w:rsid w:val="00F917A2"/>
    <w:rsid w:val="00F94320"/>
    <w:rsid w:val="00FA6073"/>
    <w:rsid w:val="00FA64A0"/>
    <w:rsid w:val="00FB4C56"/>
    <w:rsid w:val="00FC01D5"/>
    <w:rsid w:val="00FC32EA"/>
    <w:rsid w:val="00FC4A4D"/>
    <w:rsid w:val="00FC50A2"/>
    <w:rsid w:val="00FC580F"/>
    <w:rsid w:val="00FD0699"/>
    <w:rsid w:val="00FD26F3"/>
    <w:rsid w:val="00FD5958"/>
    <w:rsid w:val="00FE045A"/>
    <w:rsid w:val="00FE1C38"/>
    <w:rsid w:val="00FF2F7A"/>
    <w:rsid w:val="00FF33DB"/>
    <w:rsid w:val="00FF5BE1"/>
    <w:rsid w:val="00FF75A4"/>
    <w:rsid w:val="00FF7F29"/>
    <w:rsid w:val="02AA334F"/>
    <w:rsid w:val="036234BE"/>
    <w:rsid w:val="0750550D"/>
    <w:rsid w:val="08156DD4"/>
    <w:rsid w:val="0A8E2CA5"/>
    <w:rsid w:val="0FC32327"/>
    <w:rsid w:val="11440872"/>
    <w:rsid w:val="15AE1907"/>
    <w:rsid w:val="167D385F"/>
    <w:rsid w:val="168C1E7A"/>
    <w:rsid w:val="18F26566"/>
    <w:rsid w:val="1CD36B00"/>
    <w:rsid w:val="1F24429A"/>
    <w:rsid w:val="24512DC8"/>
    <w:rsid w:val="25753C8C"/>
    <w:rsid w:val="274813E4"/>
    <w:rsid w:val="27645264"/>
    <w:rsid w:val="297968E2"/>
    <w:rsid w:val="2D94404B"/>
    <w:rsid w:val="30345091"/>
    <w:rsid w:val="306C34AE"/>
    <w:rsid w:val="3276283A"/>
    <w:rsid w:val="33227471"/>
    <w:rsid w:val="359424A0"/>
    <w:rsid w:val="3F364F8E"/>
    <w:rsid w:val="41C24181"/>
    <w:rsid w:val="457643E5"/>
    <w:rsid w:val="49447572"/>
    <w:rsid w:val="4F6F01E1"/>
    <w:rsid w:val="564946C2"/>
    <w:rsid w:val="56ED7474"/>
    <w:rsid w:val="5B3C712D"/>
    <w:rsid w:val="5C221066"/>
    <w:rsid w:val="5D6D4EE5"/>
    <w:rsid w:val="5E907888"/>
    <w:rsid w:val="60406150"/>
    <w:rsid w:val="60CE1B98"/>
    <w:rsid w:val="63C60097"/>
    <w:rsid w:val="63FF21E1"/>
    <w:rsid w:val="6D40334E"/>
    <w:rsid w:val="6EA40C92"/>
    <w:rsid w:val="72744F2F"/>
    <w:rsid w:val="731E678F"/>
    <w:rsid w:val="7A563FAE"/>
    <w:rsid w:val="7BB12A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5"/>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6"/>
    <w:qFormat/>
    <w:uiPriority w:val="0"/>
    <w:pPr>
      <w:widowControl/>
      <w:spacing w:line="360" w:lineRule="auto"/>
      <w:outlineLvl w:val="2"/>
    </w:pPr>
    <w:rPr>
      <w:b/>
      <w:bCs/>
      <w:sz w:val="24"/>
    </w:rPr>
  </w:style>
  <w:style w:type="paragraph" w:styleId="5">
    <w:name w:val="heading 4"/>
    <w:basedOn w:val="1"/>
    <w:next w:val="1"/>
    <w:link w:val="47"/>
    <w:qFormat/>
    <w:uiPriority w:val="0"/>
    <w:pPr>
      <w:keepNext/>
      <w:keepLines/>
      <w:spacing w:line="360" w:lineRule="auto"/>
      <w:outlineLvl w:val="3"/>
    </w:pPr>
    <w:rPr>
      <w:rFonts w:ascii="Arial" w:hAnsi="Arial"/>
      <w:b/>
      <w:bCs/>
      <w:szCs w:val="28"/>
    </w:rPr>
  </w:style>
  <w:style w:type="paragraph" w:styleId="6">
    <w:name w:val="heading 5"/>
    <w:basedOn w:val="1"/>
    <w:next w:val="1"/>
    <w:link w:val="48"/>
    <w:qFormat/>
    <w:uiPriority w:val="0"/>
    <w:pPr>
      <w:keepNext/>
      <w:keepLines/>
      <w:spacing w:before="280" w:after="290" w:line="372" w:lineRule="auto"/>
      <w:outlineLvl w:val="4"/>
    </w:pPr>
    <w:rPr>
      <w:b/>
      <w:bCs/>
      <w:sz w:val="28"/>
      <w:szCs w:val="28"/>
    </w:rPr>
  </w:style>
  <w:style w:type="paragraph" w:styleId="7">
    <w:name w:val="heading 6"/>
    <w:basedOn w:val="1"/>
    <w:next w:val="1"/>
    <w:link w:val="49"/>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0"/>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1"/>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2"/>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8">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6"/>
    <w:qFormat/>
    <w:uiPriority w:val="0"/>
    <w:pPr>
      <w:jc w:val="left"/>
    </w:pPr>
  </w:style>
  <w:style w:type="paragraph" w:styleId="15">
    <w:name w:val="Body Text"/>
    <w:basedOn w:val="1"/>
    <w:link w:val="88"/>
    <w:qFormat/>
    <w:uiPriority w:val="0"/>
    <w:pPr>
      <w:spacing w:after="120"/>
    </w:pPr>
  </w:style>
  <w:style w:type="paragraph" w:styleId="16">
    <w:name w:val="Body Text Indent"/>
    <w:basedOn w:val="1"/>
    <w:link w:val="89"/>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59"/>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3"/>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7"/>
    <w:qFormat/>
    <w:uiPriority w:val="0"/>
    <w:rPr>
      <w:sz w:val="18"/>
      <w:szCs w:val="18"/>
    </w:rPr>
  </w:style>
  <w:style w:type="paragraph" w:styleId="24">
    <w:name w:val="footer"/>
    <w:basedOn w:val="1"/>
    <w:link w:val="53"/>
    <w:qFormat/>
    <w:uiPriority w:val="0"/>
    <w:pPr>
      <w:tabs>
        <w:tab w:val="center" w:pos="4153"/>
        <w:tab w:val="right" w:pos="8306"/>
      </w:tabs>
      <w:snapToGrid w:val="0"/>
      <w:jc w:val="left"/>
    </w:pPr>
    <w:rPr>
      <w:sz w:val="18"/>
      <w:szCs w:val="18"/>
    </w:rPr>
  </w:style>
  <w:style w:type="paragraph" w:styleId="25">
    <w:name w:val="header"/>
    <w:basedOn w:val="1"/>
    <w:link w:val="6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4"/>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4"/>
    <w:qFormat/>
    <w:uiPriority w:val="0"/>
    <w:pPr>
      <w:spacing w:before="240" w:after="60"/>
      <w:jc w:val="center"/>
      <w:outlineLvl w:val="0"/>
    </w:pPr>
    <w:rPr>
      <w:rFonts w:ascii="Cambria" w:hAnsi="Cambria"/>
      <w:b/>
      <w:sz w:val="32"/>
    </w:rPr>
  </w:style>
  <w:style w:type="paragraph" w:styleId="36">
    <w:name w:val="annotation subject"/>
    <w:basedOn w:val="14"/>
    <w:next w:val="14"/>
    <w:link w:val="55"/>
    <w:qFormat/>
    <w:uiPriority w:val="0"/>
    <w:rPr>
      <w:b/>
      <w:bCs/>
    </w:rPr>
  </w:style>
  <w:style w:type="character" w:styleId="39">
    <w:name w:val="Strong"/>
    <w:basedOn w:val="38"/>
    <w:qFormat/>
    <w:uiPriority w:val="22"/>
    <w:rPr>
      <w:rFonts w:ascii="宋体" w:hAnsi="宋体" w:eastAsia="宋体"/>
      <w:b/>
      <w:bCs/>
      <w:sz w:val="24"/>
    </w:rPr>
  </w:style>
  <w:style w:type="character" w:styleId="40">
    <w:name w:val="page number"/>
    <w:basedOn w:val="38"/>
    <w:qFormat/>
    <w:uiPriority w:val="0"/>
  </w:style>
  <w:style w:type="character" w:styleId="41">
    <w:name w:val="FollowedHyperlink"/>
    <w:basedOn w:val="38"/>
    <w:qFormat/>
    <w:uiPriority w:val="99"/>
    <w:rPr>
      <w:color w:val="800080"/>
      <w:u w:val="single"/>
    </w:rPr>
  </w:style>
  <w:style w:type="character" w:styleId="42">
    <w:name w:val="Hyperlink"/>
    <w:basedOn w:val="38"/>
    <w:qFormat/>
    <w:uiPriority w:val="99"/>
    <w:rPr>
      <w:color w:val="0000FF"/>
      <w:u w:val="single"/>
    </w:rPr>
  </w:style>
  <w:style w:type="character" w:styleId="43">
    <w:name w:val="annotation reference"/>
    <w:basedOn w:val="38"/>
    <w:qFormat/>
    <w:uiPriority w:val="0"/>
    <w:rPr>
      <w:sz w:val="21"/>
      <w:szCs w:val="21"/>
    </w:rPr>
  </w:style>
  <w:style w:type="character" w:customStyle="1" w:styleId="44">
    <w:name w:val="标题 1 Char"/>
    <w:basedOn w:val="38"/>
    <w:link w:val="2"/>
    <w:qFormat/>
    <w:uiPriority w:val="0"/>
    <w:rPr>
      <w:rFonts w:ascii="Cambria" w:hAnsi="Cambria"/>
      <w:b/>
      <w:bCs/>
      <w:kern w:val="32"/>
      <w:sz w:val="32"/>
      <w:szCs w:val="32"/>
    </w:rPr>
  </w:style>
  <w:style w:type="character" w:customStyle="1" w:styleId="45">
    <w:name w:val="标题 2 Char"/>
    <w:basedOn w:val="38"/>
    <w:link w:val="3"/>
    <w:qFormat/>
    <w:uiPriority w:val="0"/>
    <w:rPr>
      <w:rFonts w:ascii="Cambria" w:hAnsi="Cambria" w:eastAsia="宋体" w:cs="Times New Roman"/>
      <w:b/>
      <w:bCs/>
      <w:kern w:val="2"/>
      <w:sz w:val="32"/>
      <w:szCs w:val="32"/>
    </w:rPr>
  </w:style>
  <w:style w:type="character" w:customStyle="1" w:styleId="46">
    <w:name w:val="标题 3 Char"/>
    <w:basedOn w:val="38"/>
    <w:link w:val="4"/>
    <w:qFormat/>
    <w:uiPriority w:val="0"/>
    <w:rPr>
      <w:b/>
      <w:bCs/>
      <w:sz w:val="24"/>
      <w:szCs w:val="24"/>
    </w:rPr>
  </w:style>
  <w:style w:type="character" w:customStyle="1" w:styleId="47">
    <w:name w:val="标题 4 Char"/>
    <w:basedOn w:val="38"/>
    <w:link w:val="5"/>
    <w:qFormat/>
    <w:uiPriority w:val="0"/>
    <w:rPr>
      <w:rFonts w:ascii="Arial" w:hAnsi="Arial"/>
      <w:b/>
      <w:bCs/>
      <w:kern w:val="2"/>
      <w:sz w:val="21"/>
      <w:szCs w:val="28"/>
    </w:rPr>
  </w:style>
  <w:style w:type="character" w:customStyle="1" w:styleId="48">
    <w:name w:val="标题 5 Char"/>
    <w:basedOn w:val="38"/>
    <w:link w:val="6"/>
    <w:qFormat/>
    <w:uiPriority w:val="0"/>
    <w:rPr>
      <w:b/>
      <w:bCs/>
      <w:kern w:val="2"/>
      <w:sz w:val="28"/>
      <w:szCs w:val="28"/>
    </w:rPr>
  </w:style>
  <w:style w:type="character" w:customStyle="1" w:styleId="49">
    <w:name w:val="标题 6 Char"/>
    <w:basedOn w:val="38"/>
    <w:link w:val="7"/>
    <w:qFormat/>
    <w:uiPriority w:val="0"/>
    <w:rPr>
      <w:rFonts w:ascii="Arial" w:hAnsi="Arial" w:eastAsia="黑体"/>
      <w:b/>
      <w:bCs/>
      <w:sz w:val="24"/>
      <w:szCs w:val="24"/>
    </w:rPr>
  </w:style>
  <w:style w:type="character" w:customStyle="1" w:styleId="50">
    <w:name w:val="标题 7 Char"/>
    <w:basedOn w:val="38"/>
    <w:link w:val="8"/>
    <w:qFormat/>
    <w:uiPriority w:val="0"/>
    <w:rPr>
      <w:b/>
      <w:bCs/>
      <w:sz w:val="24"/>
      <w:szCs w:val="24"/>
    </w:rPr>
  </w:style>
  <w:style w:type="character" w:customStyle="1" w:styleId="51">
    <w:name w:val="标题 8 Char"/>
    <w:basedOn w:val="38"/>
    <w:link w:val="9"/>
    <w:qFormat/>
    <w:uiPriority w:val="0"/>
    <w:rPr>
      <w:rFonts w:ascii="Arial" w:hAnsi="Arial" w:eastAsia="黑体"/>
      <w:sz w:val="24"/>
      <w:szCs w:val="24"/>
    </w:rPr>
  </w:style>
  <w:style w:type="character" w:customStyle="1" w:styleId="52">
    <w:name w:val="标题 9 Char"/>
    <w:basedOn w:val="38"/>
    <w:link w:val="10"/>
    <w:qFormat/>
    <w:uiPriority w:val="0"/>
    <w:rPr>
      <w:rFonts w:ascii="Arial" w:hAnsi="Arial" w:eastAsia="黑体"/>
      <w:sz w:val="21"/>
      <w:szCs w:val="21"/>
    </w:rPr>
  </w:style>
  <w:style w:type="character" w:customStyle="1" w:styleId="53">
    <w:name w:val="页脚 Char"/>
    <w:basedOn w:val="38"/>
    <w:link w:val="24"/>
    <w:qFormat/>
    <w:uiPriority w:val="0"/>
    <w:rPr>
      <w:kern w:val="2"/>
      <w:sz w:val="18"/>
      <w:szCs w:val="18"/>
    </w:rPr>
  </w:style>
  <w:style w:type="character" w:customStyle="1" w:styleId="54">
    <w:name w:val="正文文本缩进 3 Char"/>
    <w:basedOn w:val="38"/>
    <w:link w:val="29"/>
    <w:qFormat/>
    <w:uiPriority w:val="0"/>
    <w:rPr>
      <w:rFonts w:ascii="宋体" w:hAnsi="MS Sans Serif"/>
      <w:color w:val="000000"/>
      <w:sz w:val="24"/>
    </w:rPr>
  </w:style>
  <w:style w:type="character" w:customStyle="1" w:styleId="55">
    <w:name w:val="批注主题 Char"/>
    <w:basedOn w:val="56"/>
    <w:link w:val="36"/>
    <w:qFormat/>
    <w:uiPriority w:val="0"/>
    <w:rPr>
      <w:b/>
      <w:bCs/>
    </w:rPr>
  </w:style>
  <w:style w:type="character" w:customStyle="1" w:styleId="56">
    <w:name w:val="批注文字 Char"/>
    <w:basedOn w:val="38"/>
    <w:link w:val="14"/>
    <w:qFormat/>
    <w:uiPriority w:val="0"/>
    <w:rPr>
      <w:kern w:val="2"/>
      <w:sz w:val="21"/>
      <w:szCs w:val="24"/>
    </w:rPr>
  </w:style>
  <w:style w:type="character" w:customStyle="1" w:styleId="57">
    <w:name w:val="批注框文本 Char"/>
    <w:basedOn w:val="38"/>
    <w:link w:val="23"/>
    <w:qFormat/>
    <w:uiPriority w:val="0"/>
    <w:rPr>
      <w:kern w:val="2"/>
      <w:sz w:val="18"/>
      <w:szCs w:val="18"/>
    </w:rPr>
  </w:style>
  <w:style w:type="character" w:customStyle="1" w:styleId="58">
    <w:name w:val="p0 Char"/>
    <w:basedOn w:val="38"/>
    <w:qFormat/>
    <w:uiPriority w:val="0"/>
    <w:rPr>
      <w:rFonts w:eastAsia="宋体"/>
      <w:kern w:val="2"/>
      <w:sz w:val="21"/>
      <w:szCs w:val="21"/>
      <w:lang w:val="en-US" w:eastAsia="zh-CN" w:bidi="ar-SA"/>
    </w:rPr>
  </w:style>
  <w:style w:type="character" w:customStyle="1" w:styleId="59">
    <w:name w:val="纯文本 Char"/>
    <w:basedOn w:val="38"/>
    <w:link w:val="19"/>
    <w:qFormat/>
    <w:uiPriority w:val="0"/>
    <w:rPr>
      <w:rFonts w:ascii="宋体" w:hAnsi="Courier New" w:eastAsia="仿宋_GB2312"/>
      <w:kern w:val="2"/>
      <w:sz w:val="32"/>
      <w:szCs w:val="24"/>
    </w:rPr>
  </w:style>
  <w:style w:type="character" w:customStyle="1" w:styleId="60">
    <w:name w:val="页眉 Char"/>
    <w:basedOn w:val="38"/>
    <w:link w:val="25"/>
    <w:qFormat/>
    <w:uiPriority w:val="0"/>
    <w:rPr>
      <w:kern w:val="2"/>
      <w:sz w:val="18"/>
      <w:szCs w:val="18"/>
    </w:rPr>
  </w:style>
  <w:style w:type="character" w:customStyle="1" w:styleId="61">
    <w:name w:val="p0 Char Char"/>
    <w:basedOn w:val="38"/>
    <w:link w:val="62"/>
    <w:qFormat/>
    <w:uiPriority w:val="0"/>
    <w:rPr>
      <w:rFonts w:eastAsia="宋体"/>
      <w:kern w:val="2"/>
      <w:sz w:val="21"/>
      <w:szCs w:val="21"/>
      <w:lang w:val="en-US" w:eastAsia="zh-CN" w:bidi="ar-SA"/>
    </w:rPr>
  </w:style>
  <w:style w:type="paragraph" w:customStyle="1" w:styleId="62">
    <w:name w:val="p0"/>
    <w:basedOn w:val="1"/>
    <w:link w:val="61"/>
    <w:qFormat/>
    <w:uiPriority w:val="0"/>
    <w:pPr>
      <w:widowControl/>
    </w:pPr>
    <w:rPr>
      <w:szCs w:val="21"/>
    </w:rPr>
  </w:style>
  <w:style w:type="character" w:customStyle="1" w:styleId="63">
    <w:name w:val="日期 Char"/>
    <w:basedOn w:val="38"/>
    <w:link w:val="21"/>
    <w:qFormat/>
    <w:uiPriority w:val="0"/>
    <w:rPr>
      <w:kern w:val="2"/>
      <w:sz w:val="21"/>
      <w:szCs w:val="24"/>
    </w:rPr>
  </w:style>
  <w:style w:type="character" w:customStyle="1" w:styleId="64">
    <w:name w:val="标题 Char"/>
    <w:basedOn w:val="38"/>
    <w:link w:val="35"/>
    <w:qFormat/>
    <w:uiPriority w:val="0"/>
    <w:rPr>
      <w:rFonts w:ascii="Cambria" w:hAnsi="Cambria"/>
      <w:b/>
      <w:kern w:val="2"/>
      <w:sz w:val="32"/>
      <w:szCs w:val="24"/>
    </w:rPr>
  </w:style>
  <w:style w:type="paragraph" w:customStyle="1" w:styleId="65">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6">
    <w:name w:val="修订1"/>
    <w:qFormat/>
    <w:uiPriority w:val="0"/>
    <w:rPr>
      <w:rFonts w:ascii="Times New Roman" w:hAnsi="Times New Roman" w:eastAsia="宋体" w:cs="Times New Roman"/>
      <w:kern w:val="2"/>
      <w:sz w:val="21"/>
      <w:szCs w:val="24"/>
      <w:lang w:val="en-US" w:eastAsia="zh-CN" w:bidi="ar-SA"/>
    </w:rPr>
  </w:style>
  <w:style w:type="paragraph" w:customStyle="1" w:styleId="67">
    <w:name w:val="默认段落字体 Para Char Char Char Char Char Char Char Char Char Char Char Char Char Char Char Char Char Char Char"/>
    <w:basedOn w:val="1"/>
    <w:qFormat/>
    <w:uiPriority w:val="0"/>
  </w:style>
  <w:style w:type="paragraph" w:customStyle="1" w:styleId="68">
    <w:name w:val="1 Char Char Char Char"/>
    <w:basedOn w:val="1"/>
    <w:qFormat/>
    <w:uiPriority w:val="0"/>
    <w:rPr>
      <w:rFonts w:ascii="Tahoma" w:hAnsi="Tahoma"/>
      <w:sz w:val="24"/>
      <w:szCs w:val="20"/>
    </w:rPr>
  </w:style>
  <w:style w:type="paragraph" w:customStyle="1" w:styleId="6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1">
    <w:name w:val="标题2"/>
    <w:basedOn w:val="35"/>
    <w:qFormat/>
    <w:uiPriority w:val="0"/>
    <w:pPr>
      <w:spacing w:after="240"/>
      <w:jc w:val="left"/>
    </w:pPr>
    <w:rPr>
      <w:sz w:val="30"/>
    </w:rPr>
  </w:style>
  <w:style w:type="paragraph" w:customStyle="1" w:styleId="72">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3">
    <w:name w:val="列出段落1"/>
    <w:basedOn w:val="1"/>
    <w:qFormat/>
    <w:uiPriority w:val="0"/>
    <w:pPr>
      <w:ind w:firstLine="420" w:firstLineChars="200"/>
    </w:pPr>
  </w:style>
  <w:style w:type="paragraph" w:customStyle="1" w:styleId="74">
    <w:name w:val="标题3"/>
    <w:basedOn w:val="2"/>
    <w:qFormat/>
    <w:uiPriority w:val="0"/>
    <w:pPr>
      <w:spacing w:beforeLines="50" w:afterLines="50" w:line="400" w:lineRule="exact"/>
    </w:pPr>
    <w:rPr>
      <w:rFonts w:ascii="宋体" w:hAnsi="宋体"/>
      <w:sz w:val="24"/>
    </w:rPr>
  </w:style>
  <w:style w:type="character" w:customStyle="1" w:styleId="75">
    <w:name w:val="javascript"/>
    <w:basedOn w:val="38"/>
    <w:qFormat/>
    <w:uiPriority w:val="0"/>
    <w:rPr>
      <w:rFonts w:ascii="宋体" w:hAnsi="宋体" w:eastAsia="宋体"/>
      <w:sz w:val="24"/>
    </w:rPr>
  </w:style>
  <w:style w:type="character" w:customStyle="1" w:styleId="76">
    <w:name w:val="Char Char16"/>
    <w:basedOn w:val="38"/>
    <w:qFormat/>
    <w:uiPriority w:val="0"/>
    <w:rPr>
      <w:rFonts w:ascii="Cambria" w:hAnsi="Cambria" w:eastAsia="宋体" w:cs="Times New Roman"/>
      <w:b/>
      <w:bCs/>
      <w:kern w:val="2"/>
      <w:sz w:val="32"/>
      <w:szCs w:val="32"/>
    </w:rPr>
  </w:style>
  <w:style w:type="character" w:customStyle="1" w:styleId="77">
    <w:name w:val="Char Char14"/>
    <w:basedOn w:val="38"/>
    <w:qFormat/>
    <w:uiPriority w:val="0"/>
    <w:rPr>
      <w:rFonts w:ascii="Arial" w:hAnsi="Arial" w:eastAsia="宋体"/>
      <w:b/>
      <w:bCs/>
      <w:kern w:val="2"/>
      <w:sz w:val="21"/>
      <w:szCs w:val="28"/>
    </w:rPr>
  </w:style>
  <w:style w:type="character" w:customStyle="1" w:styleId="78">
    <w:name w:val="标题 4 Char1"/>
    <w:qFormat/>
    <w:uiPriority w:val="0"/>
    <w:rPr>
      <w:rFonts w:ascii="Arial" w:hAnsi="Arial" w:eastAsia="宋体"/>
      <w:b/>
      <w:bCs/>
      <w:kern w:val="2"/>
      <w:sz w:val="21"/>
      <w:szCs w:val="28"/>
      <w:lang w:val="en-US" w:eastAsia="zh-CN" w:bidi="ar-SA"/>
    </w:rPr>
  </w:style>
  <w:style w:type="character" w:customStyle="1" w:styleId="79">
    <w:name w:val="Char Char45"/>
    <w:qFormat/>
    <w:uiPriority w:val="0"/>
    <w:rPr>
      <w:rFonts w:ascii="Arial" w:hAnsi="Arial" w:eastAsia="宋体"/>
      <w:b/>
      <w:bCs/>
      <w:kern w:val="2"/>
      <w:sz w:val="21"/>
      <w:szCs w:val="28"/>
      <w:lang w:val="en-US" w:eastAsia="zh-CN" w:bidi="ar-SA"/>
    </w:rPr>
  </w:style>
  <w:style w:type="character" w:customStyle="1" w:styleId="80">
    <w:name w:val="Char Char48"/>
    <w:qFormat/>
    <w:uiPriority w:val="0"/>
    <w:rPr>
      <w:rFonts w:ascii="Cambria" w:hAnsi="Cambria"/>
      <w:b/>
      <w:bCs/>
      <w:kern w:val="32"/>
      <w:sz w:val="32"/>
      <w:szCs w:val="32"/>
    </w:rPr>
  </w:style>
  <w:style w:type="character" w:customStyle="1" w:styleId="81">
    <w:name w:val="Char Char47"/>
    <w:qFormat/>
    <w:uiPriority w:val="0"/>
    <w:rPr>
      <w:rFonts w:ascii="Cambria" w:hAnsi="Cambria" w:eastAsia="宋体"/>
      <w:b/>
      <w:bCs/>
      <w:kern w:val="2"/>
      <w:sz w:val="32"/>
      <w:szCs w:val="32"/>
      <w:lang w:bidi="ar-SA"/>
    </w:rPr>
  </w:style>
  <w:style w:type="character" w:customStyle="1" w:styleId="82">
    <w:name w:val="标题 4 Char2"/>
    <w:basedOn w:val="38"/>
    <w:qFormat/>
    <w:uiPriority w:val="0"/>
    <w:rPr>
      <w:rFonts w:ascii="Arial" w:hAnsi="Arial" w:eastAsia="宋体"/>
      <w:b/>
      <w:bCs/>
      <w:kern w:val="2"/>
      <w:sz w:val="21"/>
      <w:szCs w:val="28"/>
    </w:rPr>
  </w:style>
  <w:style w:type="character" w:customStyle="1" w:styleId="83">
    <w:name w:val="Char Char15"/>
    <w:basedOn w:val="38"/>
    <w:qFormat/>
    <w:uiPriority w:val="0"/>
    <w:rPr>
      <w:rFonts w:ascii="宋体" w:hAnsi="宋体" w:eastAsia="宋体"/>
      <w:b/>
      <w:bCs/>
      <w:sz w:val="24"/>
      <w:szCs w:val="24"/>
    </w:rPr>
  </w:style>
  <w:style w:type="character" w:customStyle="1" w:styleId="84">
    <w:name w:val="Char Char21"/>
    <w:basedOn w:val="38"/>
    <w:qFormat/>
    <w:uiPriority w:val="0"/>
    <w:rPr>
      <w:rFonts w:ascii="Cambria" w:hAnsi="Cambria" w:eastAsia="宋体"/>
      <w:b/>
      <w:bCs/>
      <w:kern w:val="2"/>
      <w:sz w:val="32"/>
      <w:szCs w:val="32"/>
      <w:lang w:val="en-US" w:eastAsia="zh-CN" w:bidi="ar-SA"/>
    </w:rPr>
  </w:style>
  <w:style w:type="character" w:customStyle="1" w:styleId="85">
    <w:name w:val="批注框文本 Char1"/>
    <w:basedOn w:val="38"/>
    <w:qFormat/>
    <w:uiPriority w:val="0"/>
    <w:rPr>
      <w:rFonts w:ascii="宋体" w:hAnsi="宋体" w:eastAsia="宋体"/>
      <w:kern w:val="2"/>
      <w:sz w:val="18"/>
      <w:szCs w:val="18"/>
      <w:lang w:bidi="ar-SA"/>
    </w:rPr>
  </w:style>
  <w:style w:type="character" w:customStyle="1" w:styleId="86">
    <w:name w:val="标题 2 Char1"/>
    <w:qFormat/>
    <w:uiPriority w:val="0"/>
    <w:rPr>
      <w:rFonts w:ascii="Cambria" w:hAnsi="Cambria" w:eastAsia="宋体"/>
      <w:b/>
      <w:bCs/>
      <w:kern w:val="2"/>
      <w:sz w:val="32"/>
      <w:szCs w:val="32"/>
      <w:lang w:val="en-US" w:eastAsia="zh-CN" w:bidi="ar-SA"/>
    </w:rPr>
  </w:style>
  <w:style w:type="character" w:customStyle="1" w:styleId="87">
    <w:name w:val="HTML 预设格式 Char"/>
    <w:basedOn w:val="38"/>
    <w:link w:val="33"/>
    <w:qFormat/>
    <w:uiPriority w:val="0"/>
    <w:rPr>
      <w:rFonts w:ascii="宋体" w:hAnsi="宋体"/>
      <w:kern w:val="2"/>
      <w:sz w:val="24"/>
      <w:szCs w:val="24"/>
    </w:rPr>
  </w:style>
  <w:style w:type="character" w:customStyle="1" w:styleId="88">
    <w:name w:val="正文文本 Char"/>
    <w:basedOn w:val="38"/>
    <w:link w:val="15"/>
    <w:qFormat/>
    <w:uiPriority w:val="0"/>
    <w:rPr>
      <w:kern w:val="2"/>
      <w:sz w:val="21"/>
      <w:szCs w:val="24"/>
    </w:rPr>
  </w:style>
  <w:style w:type="character" w:customStyle="1" w:styleId="89">
    <w:name w:val="正文文本缩进 Char"/>
    <w:basedOn w:val="38"/>
    <w:link w:val="16"/>
    <w:qFormat/>
    <w:uiPriority w:val="0"/>
    <w:rPr>
      <w:spacing w:val="-4"/>
      <w:kern w:val="2"/>
      <w:sz w:val="21"/>
      <w:szCs w:val="24"/>
    </w:rPr>
  </w:style>
  <w:style w:type="paragraph" w:customStyle="1" w:styleId="90">
    <w:name w:val="2 Char"/>
    <w:basedOn w:val="1"/>
    <w:qFormat/>
    <w:uiPriority w:val="0"/>
    <w:rPr>
      <w:rFonts w:ascii="宋体" w:hAnsi="宋体"/>
      <w:sz w:val="24"/>
      <w:szCs w:val="20"/>
    </w:rPr>
  </w:style>
  <w:style w:type="paragraph" w:customStyle="1" w:styleId="91">
    <w:name w:val="文档的标题"/>
    <w:basedOn w:val="1"/>
    <w:qFormat/>
    <w:uiPriority w:val="0"/>
    <w:pPr>
      <w:jc w:val="center"/>
    </w:pPr>
    <w:rPr>
      <w:rFonts w:eastAsia="黑体"/>
      <w:b/>
      <w:sz w:val="36"/>
      <w:szCs w:val="20"/>
    </w:rPr>
  </w:style>
  <w:style w:type="paragraph" w:customStyle="1" w:styleId="92">
    <w:name w:val="p20"/>
    <w:basedOn w:val="1"/>
    <w:qFormat/>
    <w:uiPriority w:val="0"/>
    <w:pPr>
      <w:widowControl/>
      <w:ind w:left="28"/>
      <w:jc w:val="left"/>
    </w:pPr>
    <w:rPr>
      <w:rFonts w:ascii="PMingLiU" w:hAnsi="PMingLiU" w:eastAsia="PMingLiU" w:cs="宋体"/>
      <w:kern w:val="0"/>
      <w:sz w:val="41"/>
      <w:szCs w:val="41"/>
    </w:rPr>
  </w:style>
  <w:style w:type="paragraph" w:customStyle="1" w:styleId="93">
    <w:name w:val="p16"/>
    <w:basedOn w:val="1"/>
    <w:qFormat/>
    <w:uiPriority w:val="0"/>
    <w:pPr>
      <w:widowControl/>
      <w:ind w:left="713"/>
      <w:jc w:val="left"/>
    </w:pPr>
    <w:rPr>
      <w:rFonts w:ascii="方正仿宋_GBK" w:hAnsi="方正仿宋_GBK" w:cs="宋体"/>
      <w:kern w:val="0"/>
      <w:sz w:val="28"/>
      <w:szCs w:val="28"/>
    </w:rPr>
  </w:style>
  <w:style w:type="paragraph" w:customStyle="1" w:styleId="94">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5">
    <w:name w:val="p17"/>
    <w:basedOn w:val="1"/>
    <w:qFormat/>
    <w:uiPriority w:val="0"/>
    <w:pPr>
      <w:widowControl/>
      <w:jc w:val="left"/>
    </w:pPr>
    <w:rPr>
      <w:rFonts w:ascii="宋体" w:hAnsi="宋体" w:cs="宋体"/>
      <w:kern w:val="0"/>
      <w:sz w:val="18"/>
      <w:szCs w:val="18"/>
    </w:rPr>
  </w:style>
  <w:style w:type="paragraph" w:customStyle="1" w:styleId="96">
    <w:name w:val="Char"/>
    <w:basedOn w:val="1"/>
    <w:qFormat/>
    <w:uiPriority w:val="0"/>
  </w:style>
  <w:style w:type="paragraph" w:customStyle="1" w:styleId="97">
    <w:name w:val="p19"/>
    <w:basedOn w:val="1"/>
    <w:qFormat/>
    <w:uiPriority w:val="0"/>
    <w:pPr>
      <w:widowControl/>
      <w:ind w:left="257"/>
      <w:jc w:val="left"/>
    </w:pPr>
    <w:rPr>
      <w:rFonts w:ascii="方正仿宋_GBK" w:hAnsi="方正仿宋_GBK" w:cs="宋体"/>
      <w:kern w:val="0"/>
      <w:sz w:val="30"/>
      <w:szCs w:val="30"/>
    </w:rPr>
  </w:style>
  <w:style w:type="paragraph" w:customStyle="1" w:styleId="9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99">
    <w:name w:val="p15"/>
    <w:basedOn w:val="1"/>
    <w:qFormat/>
    <w:uiPriority w:val="0"/>
    <w:pPr>
      <w:widowControl/>
      <w:spacing w:before="177"/>
      <w:ind w:left="152"/>
      <w:jc w:val="left"/>
    </w:pPr>
    <w:rPr>
      <w:rFonts w:ascii="宋体" w:hAnsi="宋体" w:cs="宋体"/>
      <w:b/>
      <w:bCs/>
      <w:kern w:val="0"/>
      <w:sz w:val="30"/>
      <w:szCs w:val="30"/>
    </w:rPr>
  </w:style>
  <w:style w:type="paragraph" w:styleId="100">
    <w:name w:val="List Paragraph"/>
    <w:basedOn w:val="1"/>
    <w:qFormat/>
    <w:uiPriority w:val="99"/>
    <w:pPr>
      <w:ind w:firstLine="420" w:firstLineChars="200"/>
    </w:pPr>
  </w:style>
  <w:style w:type="paragraph" w:customStyle="1" w:styleId="10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2">
    <w:name w:val="TOC 标题2"/>
    <w:basedOn w:val="2"/>
    <w:next w:val="1"/>
    <w:semiHidden/>
    <w:unhideWhenUsed/>
    <w:qFormat/>
    <w:uiPriority w:val="39"/>
    <w:pPr>
      <w:keepLines/>
      <w:spacing w:before="340" w:after="330" w:line="578" w:lineRule="auto"/>
      <w:outlineLvl w:val="9"/>
    </w:pPr>
    <w:rPr>
      <w:rFonts w:ascii="Times New Roman" w:hAnsi="Times New Roman"/>
      <w:kern w:val="44"/>
      <w:sz w:val="44"/>
      <w:szCs w:val="44"/>
    </w:rPr>
  </w:style>
  <w:style w:type="paragraph" w:customStyle="1" w:styleId="103">
    <w:name w:val="Heading 1"/>
    <w:basedOn w:val="1"/>
    <w:qFormat/>
    <w:uiPriority w:val="1"/>
    <w:pPr>
      <w:outlineLvl w:val="1"/>
    </w:pPr>
    <w:rPr>
      <w:rFonts w:ascii="宋体" w:hAnsi="宋体"/>
      <w:b/>
      <w:bCs/>
      <w:sz w:val="36"/>
      <w:szCs w:val="36"/>
    </w:rPr>
  </w:style>
  <w:style w:type="paragraph" w:customStyle="1" w:styleId="104">
    <w:name w:val="Heading 2"/>
    <w:basedOn w:val="1"/>
    <w:qFormat/>
    <w:uiPriority w:val="1"/>
    <w:pPr>
      <w:spacing w:before="154"/>
      <w:ind w:left="148"/>
      <w:outlineLvl w:val="2"/>
    </w:pPr>
    <w:rPr>
      <w:rFonts w:ascii="宋体" w:hAnsi="宋体"/>
      <w:b/>
      <w:bCs/>
      <w:sz w:val="24"/>
    </w:rPr>
  </w:style>
  <w:style w:type="paragraph" w:customStyle="1" w:styleId="105">
    <w:name w:val="Table Paragraph"/>
    <w:basedOn w:val="1"/>
    <w:qFormat/>
    <w:uiPriority w:val="1"/>
  </w:style>
  <w:style w:type="character" w:customStyle="1" w:styleId="106">
    <w:name w:val="正文文本 (2) + 10.5 pt"/>
    <w:basedOn w:val="107"/>
    <w:qFormat/>
    <w:uiPriority w:val="0"/>
    <w:rPr>
      <w:color w:val="000000"/>
      <w:spacing w:val="0"/>
      <w:w w:val="100"/>
      <w:position w:val="0"/>
      <w:sz w:val="21"/>
      <w:szCs w:val="21"/>
      <w:lang w:val="zh-TW" w:eastAsia="zh-TW" w:bidi="zh-TW"/>
    </w:rPr>
  </w:style>
  <w:style w:type="character" w:customStyle="1" w:styleId="107">
    <w:name w:val="正文文本 (2)_"/>
    <w:basedOn w:val="38"/>
    <w:link w:val="108"/>
    <w:qFormat/>
    <w:uiPriority w:val="0"/>
    <w:rPr>
      <w:rFonts w:ascii="MingLiU" w:hAnsi="MingLiU" w:eastAsia="MingLiU" w:cs="MingLiU"/>
      <w:sz w:val="22"/>
      <w:szCs w:val="22"/>
    </w:rPr>
  </w:style>
  <w:style w:type="paragraph" w:customStyle="1" w:styleId="108">
    <w:name w:val="正文文本 (2)1"/>
    <w:basedOn w:val="1"/>
    <w:link w:val="107"/>
    <w:qFormat/>
    <w:uiPriority w:val="0"/>
    <w:pPr>
      <w:shd w:val="clear" w:color="auto" w:fill="FFFFFF"/>
      <w:spacing w:before="360" w:after="240" w:line="0" w:lineRule="atLeast"/>
    </w:pPr>
    <w:rPr>
      <w:rFonts w:ascii="MingLiU" w:hAnsi="MingLiU" w:eastAsia="MingLiU" w:cs="MingLiU"/>
      <w:sz w:val="22"/>
      <w:szCs w:val="22"/>
    </w:rPr>
  </w:style>
  <w:style w:type="character" w:customStyle="1" w:styleId="109">
    <w:name w:val="font01"/>
    <w:basedOn w:val="38"/>
    <w:qFormat/>
    <w:uiPriority w:val="0"/>
    <w:rPr>
      <w:rFonts w:hint="eastAsia" w:ascii="宋体" w:hAnsi="宋体" w:eastAsia="宋体" w:cs="宋体"/>
      <w:color w:val="FF0000"/>
      <w:sz w:val="21"/>
      <w:szCs w:val="21"/>
      <w:u w:val="none"/>
      <w:vertAlign w:val="subscript"/>
    </w:rPr>
  </w:style>
  <w:style w:type="character" w:customStyle="1" w:styleId="110">
    <w:name w:val="font21"/>
    <w:basedOn w:val="38"/>
    <w:qFormat/>
    <w:uiPriority w:val="0"/>
    <w:rPr>
      <w:rFonts w:hint="eastAsia"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F70397-9B87-4E4D-9C54-ED959B6A8FA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9909</Words>
  <Characters>10729</Characters>
  <Lines>28</Lines>
  <Paragraphs>26</Paragraphs>
  <TotalTime>28</TotalTime>
  <ScaleCrop>false</ScaleCrop>
  <LinksUpToDate>false</LinksUpToDate>
  <CharactersWithSpaces>11573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2020-09-21T08:23:00Z</dcterms:created>
  <dc:creator>User</dc:creator>
  <cp:lastModifiedBy>Administrator</cp:lastModifiedBy>
  <cp:lastPrinted>2020-04-20T02:52:00Z</cp:lastPrinted>
  <dcterms:modified xsi:type="dcterms:W3CDTF">2023-12-13T02:56:26Z</dcterms:modified>
  <dc:title>第二章  投标人须知</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138F7B10B0F94E739E8576F51AB759AD</vt:lpwstr>
  </property>
</Properties>
</file>