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szCs w:val="32"/>
        </w:rPr>
      </w:pPr>
      <w:r>
        <w:rPr>
          <w:rFonts w:hint="eastAsia" w:ascii="仿宋" w:hAnsi="仿宋" w:eastAsia="仿宋"/>
          <w:szCs w:val="32"/>
        </w:rPr>
        <w:t>招标公告</w:t>
      </w:r>
    </w:p>
    <w:p>
      <w:pPr>
        <w:pStyle w:val="6"/>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HGCGD22122</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项目名称：2022年9月电气备件采购项目Ⅱ</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6"/>
        <w:adjustRightInd w:val="0"/>
        <w:snapToGrid w:val="0"/>
        <w:spacing w:line="360" w:lineRule="exact"/>
        <w:ind w:firstLine="0" w:firstLineChars="0"/>
        <w:rPr>
          <w:rFonts w:ascii="仿宋" w:hAnsi="仿宋" w:eastAsia="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6"/>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6"/>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6"/>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10000</w:t>
      </w:r>
      <w:r>
        <w:rPr>
          <w:rFonts w:ascii="仿宋" w:hAnsi="仿宋" w:eastAsia="仿宋"/>
          <w:sz w:val="28"/>
          <w:szCs w:val="28"/>
        </w:rPr>
        <w:t>元人民币</w:t>
      </w:r>
      <w:r>
        <w:rPr>
          <w:rFonts w:hint="eastAsia" w:ascii="仿宋" w:hAnsi="仿宋" w:eastAsia="仿宋"/>
          <w:sz w:val="28"/>
          <w:szCs w:val="28"/>
        </w:rPr>
        <w:t>。</w:t>
      </w:r>
    </w:p>
    <w:p>
      <w:pPr>
        <w:pStyle w:val="6"/>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rPr>
        <w:t>9</w:t>
      </w:r>
      <w:r>
        <w:rPr>
          <w:rFonts w:ascii="仿宋" w:hAnsi="仿宋" w:eastAsia="仿宋"/>
          <w:b/>
          <w:sz w:val="28"/>
          <w:szCs w:val="28"/>
          <w:u w:val="single"/>
        </w:rPr>
        <w:t>月</w:t>
      </w:r>
      <w:r>
        <w:rPr>
          <w:rFonts w:hint="eastAsia" w:ascii="仿宋" w:hAnsi="仿宋" w:eastAsia="仿宋"/>
          <w:b/>
          <w:sz w:val="28"/>
          <w:szCs w:val="28"/>
          <w:u w:val="single"/>
          <w:lang w:val="en-US" w:eastAsia="zh-CN"/>
        </w:rPr>
        <w:t>22</w:t>
      </w:r>
      <w:r>
        <w:rPr>
          <w:rFonts w:ascii="仿宋" w:hAnsi="仿宋" w:eastAsia="仿宋"/>
          <w:b/>
          <w:sz w:val="28"/>
          <w:szCs w:val="28"/>
          <w:u w:val="single"/>
        </w:rPr>
        <w:t>日</w:t>
      </w:r>
      <w:r>
        <w:rPr>
          <w:rFonts w:hint="eastAsia" w:ascii="仿宋" w:hAnsi="仿宋" w:eastAsia="仿宋"/>
          <w:b/>
          <w:sz w:val="28"/>
          <w:szCs w:val="28"/>
          <w:u w:val="single"/>
          <w:lang w:val="en-US" w:eastAsia="zh-CN"/>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09</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6"/>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6"/>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6"/>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6"/>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6"/>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6"/>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lang w:val="en-US" w:eastAsia="zh-CN"/>
        </w:rPr>
        <w:t>3841</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pPr>
        <w:pStyle w:val="6"/>
        <w:adjustRightInd w:val="0"/>
        <w:snapToGrid w:val="0"/>
        <w:spacing w:line="360" w:lineRule="exact"/>
        <w:ind w:left="851" w:firstLine="0" w:firstLineChars="0"/>
        <w:rPr>
          <w:rFonts w:ascii="仿宋" w:hAnsi="仿宋" w:eastAsia="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4CD0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2022-09-19T00:29:49Z</dcterms:created>
  <dc:creator>Administrator</dc:creator>
  <cp:lastModifiedBy>Administrator</cp:lastModifiedBy>
  <dcterms:modified xsi:type="dcterms:W3CDTF">2022-09-19T00:30:17Z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18DC7EB99F874BCDB4448695C0C09F35</vt:lpwstr>
  </property>
</Properties>
</file>