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32158"/>
      <w:bookmarkStart w:id="1" w:name="_Toc526778066"/>
      <w:bookmarkStart w:id="2" w:name="_Toc526861349"/>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w:t>
      </w:r>
      <w:r>
        <w:rPr>
          <w:rFonts w:hint="eastAsia" w:ascii="仿宋" w:hAnsi="仿宋" w:eastAsia="仿宋" w:cs="仿宋"/>
          <w:sz w:val="28"/>
          <w:szCs w:val="28"/>
          <w:lang w:val="en-US" w:eastAsia="zh-CN"/>
        </w:rPr>
        <w:t>25</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eastAsia="zh-CN"/>
        </w:rPr>
        <w:t>工程类</w:t>
      </w:r>
      <w:r>
        <w:rPr>
          <w:rFonts w:hint="eastAsia" w:ascii="仿宋" w:hAnsi="仿宋" w:eastAsia="仿宋" w:cs="仿宋"/>
          <w:sz w:val="28"/>
          <w:szCs w:val="28"/>
        </w:rPr>
        <w:t>钢材物资采购项目Ⅱ</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color w:val="000000"/>
          <w:kern w:val="0"/>
          <w:sz w:val="28"/>
          <w:szCs w:val="28"/>
        </w:rPr>
      </w:pPr>
    </w:p>
    <w:p>
      <w:pPr>
        <w:ind w:left="1" w:firstLine="560" w:firstLineChars="200"/>
        <w:jc w:val="left"/>
        <w:rPr>
          <w:rFonts w:hint="eastAsia" w:ascii="仿宋" w:hAnsi="仿宋" w:eastAsia="仿宋" w:cs="仿宋"/>
          <w:sz w:val="28"/>
          <w:szCs w:val="28"/>
        </w:r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45CE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2022-06-16T06:09:47Z</dcterms:created>
  <dc:creator>Administrator</dc:creator>
  <cp:lastModifiedBy>Administrator</cp:lastModifiedBy>
  <dcterms:modified xsi:type="dcterms:W3CDTF">2022-06-16T06:10:03Z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2A6B1ABF256A42B1897495FD0A66993F</vt:lpwstr>
  </property>
</Properties>
</file>